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BFC98" w14:textId="77777777" w:rsidR="006F0966" w:rsidRPr="00DF3D99" w:rsidRDefault="006F0966" w:rsidP="006F0966">
      <w:pPr>
        <w:pStyle w:val="Corpsdetexte"/>
        <w:rPr>
          <w:rFonts w:ascii="Marianne" w:hAnsi="Marianne"/>
          <w:sz w:val="30"/>
        </w:rPr>
      </w:pPr>
      <w:bookmarkStart w:id="0" w:name="_Hlk196411171"/>
      <w:bookmarkStart w:id="1" w:name="_Hlk196411188"/>
      <w:r>
        <w:rPr>
          <w:i w:val="0"/>
          <w:noProof/>
          <w:sz w:val="20"/>
        </w:rPr>
        <w:drawing>
          <wp:anchor distT="0" distB="0" distL="0" distR="0" simplePos="0" relativeHeight="251662336" behindDoc="1" locked="0" layoutInCell="1" allowOverlap="1" wp14:anchorId="424626D7" wp14:editId="184CD4DC">
            <wp:simplePos x="0" y="0"/>
            <wp:positionH relativeFrom="page">
              <wp:posOffset>421005</wp:posOffset>
            </wp:positionH>
            <wp:positionV relativeFrom="page">
              <wp:posOffset>215265</wp:posOffset>
            </wp:positionV>
            <wp:extent cx="1442200" cy="843878"/>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442200" cy="843878"/>
                    </a:xfrm>
                    <a:prstGeom prst="rect">
                      <a:avLst/>
                    </a:prstGeom>
                  </pic:spPr>
                </pic:pic>
              </a:graphicData>
            </a:graphic>
          </wp:anchor>
        </w:drawing>
      </w:r>
      <w:r w:rsidRPr="00DF3D99">
        <w:rPr>
          <w:rFonts w:ascii="Marianne" w:hAnsi="Marianne"/>
          <w:noProof/>
          <w:sz w:val="30"/>
        </w:rPr>
        <mc:AlternateContent>
          <mc:Choice Requires="wps">
            <w:drawing>
              <wp:anchor distT="0" distB="0" distL="0" distR="0" simplePos="0" relativeHeight="251661312" behindDoc="1" locked="0" layoutInCell="1" allowOverlap="1" wp14:anchorId="568EABBA" wp14:editId="0E50AEE7">
                <wp:simplePos x="0" y="0"/>
                <wp:positionH relativeFrom="page">
                  <wp:posOffset>432003</wp:posOffset>
                </wp:positionH>
                <wp:positionV relativeFrom="page">
                  <wp:posOffset>1277988</wp:posOffset>
                </wp:positionV>
                <wp:extent cx="3132455" cy="585025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2455" cy="5850255"/>
                        </a:xfrm>
                        <a:custGeom>
                          <a:avLst/>
                          <a:gdLst/>
                          <a:ahLst/>
                          <a:cxnLst/>
                          <a:rect l="l" t="t" r="r" b="b"/>
                          <a:pathLst>
                            <a:path w="3132455" h="5850255">
                              <a:moveTo>
                                <a:pt x="3131997" y="0"/>
                              </a:moveTo>
                              <a:lnTo>
                                <a:pt x="0" y="0"/>
                              </a:lnTo>
                              <a:lnTo>
                                <a:pt x="0" y="5850013"/>
                              </a:lnTo>
                              <a:lnTo>
                                <a:pt x="3131997" y="5850013"/>
                              </a:lnTo>
                              <a:lnTo>
                                <a:pt x="3131997" y="0"/>
                              </a:lnTo>
                              <a:close/>
                            </a:path>
                          </a:pathLst>
                        </a:custGeom>
                        <a:solidFill>
                          <a:srgbClr val="3E57A3"/>
                        </a:solidFill>
                      </wps:spPr>
                      <wps:bodyPr wrap="square" lIns="0" tIns="0" rIns="0" bIns="0" rtlCol="0">
                        <a:prstTxWarp prst="textNoShape">
                          <a:avLst/>
                        </a:prstTxWarp>
                        <a:noAutofit/>
                      </wps:bodyPr>
                    </wps:wsp>
                  </a:graphicData>
                </a:graphic>
              </wp:anchor>
            </w:drawing>
          </mc:Choice>
          <mc:Fallback>
            <w:pict>
              <v:shape w14:anchorId="5331323D" id="Graphic 12" o:spid="_x0000_s1026" style="position:absolute;margin-left:34pt;margin-top:100.65pt;width:246.65pt;height:460.65pt;z-index:-251655168;visibility:visible;mso-wrap-style:square;mso-wrap-distance-left:0;mso-wrap-distance-top:0;mso-wrap-distance-right:0;mso-wrap-distance-bottom:0;mso-position-horizontal:absolute;mso-position-horizontal-relative:page;mso-position-vertical:absolute;mso-position-vertical-relative:page;v-text-anchor:top" coordsize="3132455,585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" path="m3131997,l,,,5850013r3131997,l3131997,xe" fillcolor="#3e57a3" stroked="f">
                <v:path arrowok="t"/>
                <w10:wrap anchorx="page" anchory="page"/>
              </v:shape>
            </w:pict>
          </mc:Fallback>
        </mc:AlternateContent>
      </w:r>
    </w:p>
    <w:bookmarkEnd w:id="0"/>
    <w:p w14:paraId="37C235F9" w14:textId="51944269" w:rsidR="006F0966" w:rsidRPr="00DF3D99" w:rsidRDefault="006F0966" w:rsidP="006F0966">
      <w:pPr>
        <w:pStyle w:val="Corpsdetexte"/>
        <w:rPr>
          <w:rFonts w:ascii="Marianne" w:hAnsi="Marianne"/>
          <w:sz w:val="30"/>
        </w:rPr>
      </w:pPr>
      <w:r>
        <w:rPr>
          <w:i w:val="0"/>
          <w:noProof/>
          <w:sz w:val="20"/>
        </w:rPr>
        <w:drawing>
          <wp:anchor distT="0" distB="0" distL="0" distR="0" simplePos="0" relativeHeight="251668480" behindDoc="1" locked="0" layoutInCell="1" allowOverlap="1" wp14:anchorId="7E3BA9D1" wp14:editId="51EEBC26">
            <wp:simplePos x="0" y="0"/>
            <wp:positionH relativeFrom="page">
              <wp:posOffset>421005</wp:posOffset>
            </wp:positionH>
            <wp:positionV relativeFrom="page">
              <wp:posOffset>215265</wp:posOffset>
            </wp:positionV>
            <wp:extent cx="1442200" cy="843878"/>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442200" cy="843878"/>
                    </a:xfrm>
                    <a:prstGeom prst="rect">
                      <a:avLst/>
                    </a:prstGeom>
                  </pic:spPr>
                </pic:pic>
              </a:graphicData>
            </a:graphic>
          </wp:anchor>
        </w:drawing>
      </w:r>
      <w:bookmarkStart w:id="2" w:name="_Hlk196411246"/>
    </w:p>
    <w:bookmarkStart w:id="3" w:name="_Hlk196411124"/>
    <w:p w14:paraId="309D6261" w14:textId="3FC48B1D" w:rsidR="006F0966" w:rsidRPr="00DF3D99" w:rsidRDefault="00D3085E" w:rsidP="006F0966">
      <w:pPr>
        <w:pStyle w:val="Corpsdetexte"/>
        <w:spacing w:before="207"/>
        <w:rPr>
          <w:rFonts w:ascii="Marianne" w:hAnsi="Marianne"/>
          <w:sz w:val="30"/>
        </w:rPr>
      </w:pPr>
      <w:r w:rsidRPr="00DF3D99">
        <w:rPr>
          <w:rFonts w:ascii="Marianne" w:hAnsi="Marianne"/>
          <w:noProof/>
          <w:sz w:val="30"/>
        </w:rPr>
        <mc:AlternateContent>
          <mc:Choice Requires="wps">
            <w:drawing>
              <wp:anchor distT="0" distB="0" distL="0" distR="0" simplePos="0" relativeHeight="251665408" behindDoc="1" locked="0" layoutInCell="1" allowOverlap="1" wp14:anchorId="4EB4D625" wp14:editId="7A7F99CA">
                <wp:simplePos x="0" y="0"/>
                <wp:positionH relativeFrom="page">
                  <wp:posOffset>428625</wp:posOffset>
                </wp:positionH>
                <wp:positionV relativeFrom="page">
                  <wp:posOffset>1276350</wp:posOffset>
                </wp:positionV>
                <wp:extent cx="3552825" cy="5850255"/>
                <wp:effectExtent l="0" t="0" r="9525" b="0"/>
                <wp:wrapNone/>
                <wp:docPr id="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5850255"/>
                        </a:xfrm>
                        <a:custGeom>
                          <a:avLst/>
                          <a:gdLst/>
                          <a:ahLst/>
                          <a:cxnLst/>
                          <a:rect l="l" t="t" r="r" b="b"/>
                          <a:pathLst>
                            <a:path w="3132455" h="5850255">
                              <a:moveTo>
                                <a:pt x="3131997" y="0"/>
                              </a:moveTo>
                              <a:lnTo>
                                <a:pt x="0" y="0"/>
                              </a:lnTo>
                              <a:lnTo>
                                <a:pt x="0" y="5850013"/>
                              </a:lnTo>
                              <a:lnTo>
                                <a:pt x="3131997" y="5850013"/>
                              </a:lnTo>
                              <a:lnTo>
                                <a:pt x="3131997" y="0"/>
                              </a:lnTo>
                              <a:close/>
                            </a:path>
                          </a:pathLst>
                        </a:custGeom>
                        <a:solidFill>
                          <a:srgbClr val="3E57A3"/>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0C6AB152" id="Graphic 12" o:spid="_x0000_s1026" style="position:absolute;margin-left:33.75pt;margin-top:100.5pt;width:279.75pt;height:460.65pt;z-index:-2516510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3132455,585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" path="m3131997,l,,,5850013r3131997,l3131997,xe" fillcolor="#3e57a3" stroked="f">
                <v:path arrowok="t"/>
                <w10:wrap anchorx="page" anchory="page"/>
              </v:shape>
            </w:pict>
          </mc:Fallback>
        </mc:AlternateContent>
      </w:r>
    </w:p>
    <w:p w14:paraId="3F90AE3A" w14:textId="77777777" w:rsidR="00465647" w:rsidRDefault="00465647" w:rsidP="00465647">
      <w:pPr>
        <w:spacing w:after="0" w:line="204" w:lineRule="auto"/>
        <w:ind w:left="142"/>
        <w:jc w:val="left"/>
        <w:rPr>
          <w:rFonts w:eastAsia="Arial" w:cs="Arial"/>
          <w:b/>
          <w:bCs/>
          <w:color w:val="FFFFFF"/>
          <w:spacing w:val="-2"/>
          <w:w w:val="90"/>
          <w:sz w:val="32"/>
          <w:szCs w:val="24"/>
        </w:rPr>
      </w:pPr>
    </w:p>
    <w:p w14:paraId="20D403AC" w14:textId="2FD2A856" w:rsidR="006F0966" w:rsidRPr="00465647" w:rsidRDefault="006F0966" w:rsidP="00465647">
      <w:pPr>
        <w:spacing w:after="0" w:line="204" w:lineRule="auto"/>
        <w:ind w:left="142"/>
        <w:jc w:val="left"/>
        <w:rPr>
          <w:rFonts w:eastAsia="Arial" w:cs="Arial"/>
          <w:b/>
          <w:bCs/>
          <w:color w:val="FFFFFF"/>
          <w:spacing w:val="-2"/>
          <w:w w:val="90"/>
          <w:sz w:val="32"/>
          <w:szCs w:val="24"/>
        </w:rPr>
      </w:pPr>
      <w:r w:rsidRPr="00465647">
        <w:rPr>
          <w:rFonts w:eastAsia="Arial" w:cs="Arial"/>
          <w:b/>
          <w:bCs/>
          <w:color w:val="FFFFFF"/>
          <w:spacing w:val="-2"/>
          <w:w w:val="90"/>
          <w:sz w:val="32"/>
          <w:szCs w:val="24"/>
        </w:rPr>
        <w:t xml:space="preserve">GUIDE PRATIQUE </w:t>
      </w:r>
      <w:r w:rsidRPr="00465647">
        <w:rPr>
          <w:rFonts w:eastAsia="Arial" w:cs="Arial"/>
          <w:b/>
          <w:bCs/>
          <w:color w:val="FFFFFF"/>
          <w:spacing w:val="-2"/>
          <w:w w:val="90"/>
          <w:sz w:val="32"/>
          <w:szCs w:val="24"/>
        </w:rPr>
        <w:br/>
        <w:t>DE DIAGNOSTIC</w:t>
      </w:r>
      <w:r w:rsidRPr="00465647">
        <w:rPr>
          <w:rFonts w:eastAsia="Arial" w:cs="Arial"/>
          <w:b/>
          <w:bCs/>
          <w:color w:val="FFFFFF"/>
          <w:spacing w:val="-2"/>
          <w:w w:val="90"/>
          <w:sz w:val="32"/>
          <w:szCs w:val="24"/>
        </w:rPr>
        <w:br/>
        <w:t xml:space="preserve">ET DE GESTION </w:t>
      </w:r>
      <w:r w:rsidRPr="00465647">
        <w:rPr>
          <w:rFonts w:eastAsia="Arial" w:cs="Arial"/>
          <w:b/>
          <w:bCs/>
          <w:color w:val="FFFFFF"/>
          <w:spacing w:val="-2"/>
          <w:w w:val="90"/>
          <w:sz w:val="32"/>
          <w:szCs w:val="24"/>
        </w:rPr>
        <w:br/>
        <w:t>DES ÉPIZOOTIES</w:t>
      </w:r>
    </w:p>
    <w:p w14:paraId="009DAE90" w14:textId="77777777" w:rsidR="006F0966" w:rsidRPr="00465647" w:rsidRDefault="006F0966" w:rsidP="00465647">
      <w:pPr>
        <w:spacing w:line="204" w:lineRule="auto"/>
        <w:ind w:left="142" w:right="997"/>
        <w:rPr>
          <w:b/>
          <w:bCs/>
          <w:color w:val="FFFFFF"/>
          <w:spacing w:val="-2"/>
          <w:w w:val="100"/>
          <w:sz w:val="20"/>
          <w:szCs w:val="16"/>
        </w:rPr>
      </w:pPr>
    </w:p>
    <w:p w14:paraId="3C3E6BF5" w14:textId="2A25B708" w:rsidR="006F0966" w:rsidRPr="00465647" w:rsidRDefault="0080225B" w:rsidP="00E07382">
      <w:pPr>
        <w:spacing w:line="460" w:lineRule="exact"/>
        <w:ind w:left="142"/>
        <w:jc w:val="left"/>
        <w:rPr>
          <w:rFonts w:ascii="Marianne ExtraBold" w:hAnsi="Marianne ExtraBold"/>
          <w:b/>
          <w:bCs/>
          <w:color w:val="FFFFFF" w:themeColor="background1"/>
          <w:w w:val="95"/>
          <w:sz w:val="52"/>
          <w:szCs w:val="52"/>
        </w:rPr>
      </w:pPr>
      <w:r>
        <w:rPr>
          <w:rFonts w:ascii="Marianne ExtraBold" w:hAnsi="Marianne ExtraBold"/>
          <w:b/>
          <w:bCs/>
          <w:color w:val="FFFFFF" w:themeColor="background1"/>
          <w:w w:val="95"/>
          <w:sz w:val="52"/>
          <w:szCs w:val="52"/>
        </w:rPr>
        <w:t>Dermatose</w:t>
      </w:r>
      <w:r>
        <w:rPr>
          <w:rFonts w:ascii="Marianne ExtraBold" w:hAnsi="Marianne ExtraBold"/>
          <w:b/>
          <w:bCs/>
          <w:color w:val="FFFFFF" w:themeColor="background1"/>
          <w:w w:val="95"/>
          <w:sz w:val="52"/>
          <w:szCs w:val="52"/>
        </w:rPr>
        <w:br/>
        <w:t>Nodulaire</w:t>
      </w:r>
      <w:r>
        <w:rPr>
          <w:rFonts w:ascii="Marianne ExtraBold" w:hAnsi="Marianne ExtraBold"/>
          <w:b/>
          <w:bCs/>
          <w:color w:val="FFFFFF" w:themeColor="background1"/>
          <w:w w:val="95"/>
          <w:sz w:val="52"/>
          <w:szCs w:val="52"/>
        </w:rPr>
        <w:br/>
        <w:t>Contagieuse</w:t>
      </w:r>
    </w:p>
    <w:p w14:paraId="41C05ED6" w14:textId="77777777" w:rsidR="006F0966" w:rsidRPr="00465647" w:rsidRDefault="006F0966" w:rsidP="00465647">
      <w:pPr>
        <w:spacing w:line="204" w:lineRule="auto"/>
        <w:ind w:left="142" w:right="997"/>
        <w:rPr>
          <w:b/>
          <w:bCs/>
          <w:color w:val="FFFFFF"/>
          <w:spacing w:val="-2"/>
          <w:w w:val="100"/>
          <w:sz w:val="14"/>
          <w:szCs w:val="10"/>
        </w:rPr>
      </w:pPr>
    </w:p>
    <w:p w14:paraId="0C030BF7" w14:textId="5B721795" w:rsidR="006F0966" w:rsidRPr="00465647" w:rsidRDefault="0080225B" w:rsidP="00465647">
      <w:pPr>
        <w:ind w:left="142"/>
        <w:rPr>
          <w:color w:val="FFFFFF" w:themeColor="background1"/>
          <w:w w:val="100"/>
          <w:sz w:val="30"/>
          <w:szCs w:val="30"/>
        </w:rPr>
      </w:pPr>
      <w:r w:rsidRPr="00DF3D99">
        <w:rPr>
          <w:i/>
          <w:noProof/>
          <w:sz w:val="20"/>
        </w:rPr>
        <mc:AlternateContent>
          <mc:Choice Requires="wps">
            <w:drawing>
              <wp:anchor distT="0" distB="0" distL="0" distR="0" simplePos="0" relativeHeight="251698176" behindDoc="1" locked="0" layoutInCell="1" allowOverlap="1" wp14:anchorId="59FFE82B" wp14:editId="2998852A">
                <wp:simplePos x="0" y="0"/>
                <wp:positionH relativeFrom="page">
                  <wp:posOffset>1489520</wp:posOffset>
                </wp:positionH>
                <wp:positionV relativeFrom="paragraph">
                  <wp:posOffset>368300</wp:posOffset>
                </wp:positionV>
                <wp:extent cx="957580" cy="962660"/>
                <wp:effectExtent l="0" t="0" r="13970" b="27940"/>
                <wp:wrapTopAndBottom/>
                <wp:docPr id="1416"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7580" cy="962660"/>
                        </a:xfrm>
                        <a:custGeom>
                          <a:avLst/>
                          <a:gdLst/>
                          <a:ahLst/>
                          <a:cxnLst/>
                          <a:rect l="l" t="t" r="r" b="b"/>
                          <a:pathLst>
                            <a:path w="957580" h="962660">
                              <a:moveTo>
                                <a:pt x="335826" y="291020"/>
                              </a:moveTo>
                              <a:lnTo>
                                <a:pt x="322954" y="233796"/>
                              </a:lnTo>
                              <a:lnTo>
                                <a:pt x="302813" y="182672"/>
                              </a:lnTo>
                              <a:lnTo>
                                <a:pt x="276878" y="137976"/>
                              </a:lnTo>
                              <a:lnTo>
                                <a:pt x="246624" y="100036"/>
                              </a:lnTo>
                              <a:lnTo>
                                <a:pt x="213528" y="69179"/>
                              </a:lnTo>
                              <a:lnTo>
                                <a:pt x="179067" y="45734"/>
                              </a:lnTo>
                              <a:lnTo>
                                <a:pt x="111950" y="22390"/>
                              </a:lnTo>
                              <a:lnTo>
                                <a:pt x="95397" y="53359"/>
                              </a:lnTo>
                              <a:lnTo>
                                <a:pt x="84135" y="89657"/>
                              </a:lnTo>
                              <a:lnTo>
                                <a:pt x="79083" y="129791"/>
                              </a:lnTo>
                              <a:lnTo>
                                <a:pt x="81159" y="172269"/>
                              </a:lnTo>
                              <a:lnTo>
                                <a:pt x="91281" y="215599"/>
                              </a:lnTo>
                              <a:lnTo>
                                <a:pt x="110368" y="258291"/>
                              </a:lnTo>
                              <a:lnTo>
                                <a:pt x="139337" y="298851"/>
                              </a:lnTo>
                              <a:lnTo>
                                <a:pt x="179108" y="335787"/>
                              </a:lnTo>
                            </a:path>
                            <a:path w="957580" h="962660">
                              <a:moveTo>
                                <a:pt x="89560" y="223862"/>
                              </a:moveTo>
                              <a:lnTo>
                                <a:pt x="0" y="223862"/>
                              </a:lnTo>
                            </a:path>
                            <a:path w="957580" h="962660">
                              <a:moveTo>
                                <a:pt x="358216" y="156705"/>
                              </a:moveTo>
                              <a:lnTo>
                                <a:pt x="408500" y="102225"/>
                              </a:lnTo>
                              <a:lnTo>
                                <a:pt x="451386" y="81052"/>
                              </a:lnTo>
                              <a:lnTo>
                                <a:pt x="514934" y="67157"/>
                              </a:lnTo>
                              <a:lnTo>
                                <a:pt x="562384" y="61375"/>
                              </a:lnTo>
                              <a:lnTo>
                                <a:pt x="606252" y="55834"/>
                              </a:lnTo>
                              <a:lnTo>
                                <a:pt x="648791" y="49626"/>
                              </a:lnTo>
                              <a:lnTo>
                                <a:pt x="692257" y="41846"/>
                              </a:lnTo>
                              <a:lnTo>
                                <a:pt x="738902" y="31586"/>
                              </a:lnTo>
                              <a:lnTo>
                                <a:pt x="790981" y="17939"/>
                              </a:lnTo>
                              <a:lnTo>
                                <a:pt x="850747" y="0"/>
                              </a:lnTo>
                              <a:lnTo>
                                <a:pt x="840008" y="34256"/>
                              </a:lnTo>
                              <a:lnTo>
                                <a:pt x="816739" y="65795"/>
                              </a:lnTo>
                              <a:lnTo>
                                <a:pt x="783570" y="94514"/>
                              </a:lnTo>
                              <a:lnTo>
                                <a:pt x="743131" y="120307"/>
                              </a:lnTo>
                              <a:lnTo>
                                <a:pt x="698050" y="143071"/>
                              </a:lnTo>
                              <a:lnTo>
                                <a:pt x="650957" y="162702"/>
                              </a:lnTo>
                              <a:lnTo>
                                <a:pt x="604481" y="179095"/>
                              </a:lnTo>
                              <a:lnTo>
                                <a:pt x="565911" y="198919"/>
                              </a:lnTo>
                              <a:lnTo>
                                <a:pt x="553129" y="222057"/>
                              </a:lnTo>
                              <a:lnTo>
                                <a:pt x="560426" y="246098"/>
                              </a:lnTo>
                              <a:lnTo>
                                <a:pt x="582091" y="268630"/>
                              </a:lnTo>
                              <a:lnTo>
                                <a:pt x="646467" y="305932"/>
                              </a:lnTo>
                              <a:lnTo>
                                <a:pt x="681325" y="340342"/>
                              </a:lnTo>
                              <a:lnTo>
                                <a:pt x="695191" y="374011"/>
                              </a:lnTo>
                              <a:lnTo>
                                <a:pt x="696588" y="409089"/>
                              </a:lnTo>
                              <a:lnTo>
                                <a:pt x="694042" y="447725"/>
                              </a:lnTo>
                              <a:lnTo>
                                <a:pt x="715328" y="476766"/>
                              </a:lnTo>
                              <a:lnTo>
                                <a:pt x="746544" y="509758"/>
                              </a:lnTo>
                              <a:lnTo>
                                <a:pt x="783931" y="545099"/>
                              </a:lnTo>
                              <a:lnTo>
                                <a:pt x="823729" y="581188"/>
                              </a:lnTo>
                              <a:lnTo>
                                <a:pt x="862181" y="616422"/>
                              </a:lnTo>
                              <a:lnTo>
                                <a:pt x="895527" y="649198"/>
                              </a:lnTo>
                              <a:lnTo>
                                <a:pt x="922929" y="677091"/>
                              </a:lnTo>
                              <a:lnTo>
                                <a:pt x="945434" y="703035"/>
                              </a:lnTo>
                              <a:lnTo>
                                <a:pt x="957444" y="728581"/>
                              </a:lnTo>
                              <a:lnTo>
                                <a:pt x="953363" y="755281"/>
                              </a:lnTo>
                              <a:lnTo>
                                <a:pt x="925590" y="808116"/>
                              </a:lnTo>
                              <a:lnTo>
                                <a:pt x="895877" y="858180"/>
                              </a:lnTo>
                              <a:lnTo>
                                <a:pt x="865313" y="900321"/>
                              </a:lnTo>
                              <a:lnTo>
                                <a:pt x="834984" y="929385"/>
                              </a:lnTo>
                              <a:lnTo>
                                <a:pt x="805980" y="940219"/>
                              </a:lnTo>
                              <a:lnTo>
                                <a:pt x="768372" y="939042"/>
                              </a:lnTo>
                              <a:lnTo>
                                <a:pt x="712598" y="933351"/>
                              </a:lnTo>
                              <a:lnTo>
                                <a:pt x="653141" y="919902"/>
                              </a:lnTo>
                              <a:lnTo>
                                <a:pt x="604481" y="895451"/>
                              </a:lnTo>
                              <a:lnTo>
                                <a:pt x="554730" y="907770"/>
                              </a:lnTo>
                              <a:lnTo>
                                <a:pt x="499176" y="915244"/>
                              </a:lnTo>
                              <a:lnTo>
                                <a:pt x="440308" y="918418"/>
                              </a:lnTo>
                              <a:lnTo>
                                <a:pt x="380616" y="917836"/>
                              </a:lnTo>
                              <a:lnTo>
                                <a:pt x="322589" y="914041"/>
                              </a:lnTo>
                              <a:lnTo>
                                <a:pt x="268715" y="907578"/>
                              </a:lnTo>
                              <a:lnTo>
                                <a:pt x="221484" y="898991"/>
                              </a:lnTo>
                              <a:lnTo>
                                <a:pt x="183386" y="888824"/>
                              </a:lnTo>
                              <a:lnTo>
                                <a:pt x="156908" y="877620"/>
                              </a:lnTo>
                              <a:lnTo>
                                <a:pt x="131903" y="895057"/>
                              </a:lnTo>
                              <a:lnTo>
                                <a:pt x="94191" y="923810"/>
                              </a:lnTo>
                              <a:lnTo>
                                <a:pt x="59805" y="950715"/>
                              </a:lnTo>
                              <a:lnTo>
                                <a:pt x="44780" y="962609"/>
                              </a:lnTo>
                            </a:path>
                          </a:pathLst>
                        </a:custGeom>
                        <a:ln w="25400">
                          <a:solidFill>
                            <a:srgbClr val="FFFFFF"/>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DA088" id="Graphic 30" o:spid="_x0000_s1026" style="position:absolute;margin-left:117.3pt;margin-top:29pt;width:75.4pt;height:75.8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957580,96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" path="m335826,291020l322954,233796,302813,182672,276878,137976,246624,100036,213528,69179,179067,45734,111950,22390,95397,53359,84135,89657r-5052,40134l81159,172269r10122,43330l110368,258291r28969,40560l179108,335787em89560,223862l,223862em358216,156705r50284,-54480l451386,81052,514934,67157r47450,-5782l606252,55834r42539,-6208l692257,41846,738902,31586,790981,17939,850747,,840008,34256,816739,65795,783570,94514r-40439,25793l698050,143071r-47093,19631l604481,179095r-38570,19824l553129,222057r7297,24041l582091,268630r64376,37302l681325,340342r13866,33669l696588,409089r-2546,38636l715328,476766r31216,32992l783931,545099r39798,36089l862181,616422r33346,32776l922929,677091r22505,25944l957444,728581r-4081,26700l925590,808116r-29713,50064l865313,900321r-30329,29064l805980,940219r-37608,-1177l712598,933351,653141,919902,604481,895451r-49751,12319l499176,915244r-58868,3174l380616,917836r-58027,-3795l268715,907578r-47231,-8587l183386,888824,156908,877620r-25005,17437l94191,923810,59805,950715,44780,962609e" filled="f" strokecolor="white" strokeweight="2pt">
                <v:path arrowok="t"/>
                <w10:wrap type="topAndBottom" anchorx="page"/>
              </v:shape>
            </w:pict>
          </mc:Fallback>
        </mc:AlternateContent>
      </w:r>
      <w:r w:rsidR="006F0966" w:rsidRPr="00465647">
        <w:rPr>
          <w:color w:val="FFFFFF" w:themeColor="background1"/>
          <w:w w:val="100"/>
          <w:sz w:val="30"/>
          <w:szCs w:val="30"/>
        </w:rPr>
        <w:t>Édition</w:t>
      </w:r>
      <w:r w:rsidR="006F0966" w:rsidRPr="00465647">
        <w:rPr>
          <w:color w:val="FFFFFF" w:themeColor="background1"/>
          <w:spacing w:val="-4"/>
          <w:w w:val="100"/>
          <w:sz w:val="30"/>
          <w:szCs w:val="30"/>
        </w:rPr>
        <w:t xml:space="preserve"> 2025</w:t>
      </w:r>
    </w:p>
    <w:p w14:paraId="2EEF4369" w14:textId="77777777" w:rsidR="006F0966" w:rsidRPr="00465647" w:rsidRDefault="006F0966" w:rsidP="00465647">
      <w:pPr>
        <w:pStyle w:val="Corpsdetexte"/>
        <w:ind w:left="142"/>
        <w:rPr>
          <w:rFonts w:ascii="Marianne" w:hAnsi="Marianne"/>
          <w:i w:val="0"/>
        </w:rPr>
      </w:pPr>
    </w:p>
    <w:p w14:paraId="2BF9E1E5" w14:textId="77777777" w:rsidR="006F0966" w:rsidRPr="00465647" w:rsidRDefault="006F0966" w:rsidP="00465647">
      <w:pPr>
        <w:pStyle w:val="Corpsdetexte"/>
        <w:ind w:left="142"/>
        <w:rPr>
          <w:rFonts w:ascii="Marianne" w:hAnsi="Marianne"/>
          <w:i w:val="0"/>
        </w:rPr>
      </w:pPr>
    </w:p>
    <w:p w14:paraId="2C5BE45C" w14:textId="77777777" w:rsidR="006F0966" w:rsidRPr="00465647" w:rsidRDefault="006F0966" w:rsidP="00465647">
      <w:pPr>
        <w:pStyle w:val="Corpsdetexte"/>
        <w:ind w:left="142"/>
        <w:rPr>
          <w:rFonts w:ascii="Marianne" w:hAnsi="Marianne"/>
          <w:i w:val="0"/>
        </w:rPr>
      </w:pPr>
    </w:p>
    <w:p w14:paraId="5C5472EA" w14:textId="77777777" w:rsidR="006F0966" w:rsidRPr="00465647" w:rsidRDefault="006F0966" w:rsidP="00465647">
      <w:pPr>
        <w:pStyle w:val="Corpsdetexte"/>
        <w:spacing w:before="262"/>
        <w:ind w:left="142"/>
        <w:rPr>
          <w:rFonts w:ascii="Marianne" w:hAnsi="Marianne"/>
          <w:i w:val="0"/>
        </w:rPr>
      </w:pPr>
    </w:p>
    <w:p w14:paraId="1AC04F8E" w14:textId="670566CA" w:rsidR="006A48B4" w:rsidRPr="006F0966" w:rsidRDefault="006F0966" w:rsidP="00465647">
      <w:pPr>
        <w:ind w:left="142"/>
        <w:jc w:val="left"/>
        <w:rPr>
          <w:color w:val="FFFFFF"/>
        </w:rPr>
        <w:sectPr w:rsidR="006A48B4" w:rsidRPr="006F0966" w:rsidSect="00CD4C14">
          <w:footerReference w:type="default" r:id="rId9"/>
          <w:pgSz w:w="6237" w:h="11907" w:code="11"/>
          <w:pgMar w:top="680" w:right="851" w:bottom="567" w:left="851" w:header="709" w:footer="709" w:gutter="0"/>
          <w:cols w:space="708"/>
          <w:docGrid w:linePitch="360"/>
        </w:sectPr>
      </w:pPr>
      <w:r w:rsidRPr="00465647">
        <w:rPr>
          <w:color w:val="FFFFFF"/>
          <w:w w:val="100"/>
          <w:sz w:val="18"/>
          <w:szCs w:val="18"/>
        </w:rPr>
        <w:t xml:space="preserve">Cette monographie a été rédigée </w:t>
      </w:r>
      <w:r w:rsidRPr="00465647">
        <w:rPr>
          <w:color w:val="FFFFFF"/>
          <w:w w:val="100"/>
          <w:sz w:val="18"/>
          <w:szCs w:val="18"/>
        </w:rPr>
        <w:br/>
        <w:t xml:space="preserve">en collaboration avec le laboratoire national </w:t>
      </w:r>
      <w:r w:rsidRPr="00465647">
        <w:rPr>
          <w:color w:val="FFFFFF"/>
          <w:w w:val="100"/>
          <w:sz w:val="18"/>
          <w:szCs w:val="18"/>
        </w:rPr>
        <w:br/>
        <w:t>de référence (</w:t>
      </w:r>
      <w:r w:rsidR="00FB016D">
        <w:rPr>
          <w:color w:val="FFFFFF"/>
          <w:w w:val="100"/>
          <w:sz w:val="18"/>
          <w:szCs w:val="18"/>
        </w:rPr>
        <w:t>CIRAD</w:t>
      </w:r>
      <w:r w:rsidRPr="00465647">
        <w:rPr>
          <w:color w:val="FFFFFF"/>
          <w:w w:val="100"/>
          <w:sz w:val="18"/>
          <w:szCs w:val="18"/>
        </w:rPr>
        <w:t>) sur la base</w:t>
      </w:r>
      <w:r w:rsidRPr="00465647">
        <w:rPr>
          <w:color w:val="FFFFFF"/>
          <w:w w:val="100"/>
          <w:sz w:val="18"/>
          <w:szCs w:val="18"/>
        </w:rPr>
        <w:br/>
        <w:t>du guide publié en 2010</w:t>
      </w:r>
      <w:r w:rsidRPr="006F0966">
        <w:rPr>
          <w:color w:val="FFFFFF"/>
        </w:rPr>
        <w:t>.</w:t>
      </w:r>
    </w:p>
    <w:bookmarkEnd w:id="1"/>
    <w:bookmarkEnd w:id="2"/>
    <w:bookmarkEnd w:id="3"/>
    <w:p w14:paraId="61C5C391" w14:textId="15F6B49A" w:rsidR="00E07382" w:rsidRDefault="0080225B" w:rsidP="0080225B">
      <w:pPr>
        <w:pStyle w:val="Titre1"/>
        <w:jc w:val="left"/>
      </w:pPr>
      <w:r>
        <w:lastRenderedPageBreak/>
        <w:t>DERMATOSE NODULAIRE CONTAGIEUSE</w:t>
      </w:r>
    </w:p>
    <w:p w14:paraId="5F42D9B8" w14:textId="77777777" w:rsidR="006A1F6F" w:rsidRPr="006A1F6F" w:rsidRDefault="006A1F6F" w:rsidP="006A1F6F">
      <w:pPr>
        <w:rPr>
          <w:sz w:val="2"/>
          <w:szCs w:val="2"/>
        </w:rPr>
      </w:pPr>
    </w:p>
    <w:tbl>
      <w:tblPr>
        <w:tblStyle w:val="Grilledutableau"/>
        <w:tblW w:w="4526" w:type="dxa"/>
        <w:tblBorders>
          <w:top w:val="none" w:sz="4" w:space="0" w:color="000000"/>
          <w:left w:val="none" w:sz="4" w:space="0" w:color="000000"/>
          <w:bottom w:val="none" w:sz="4" w:space="0" w:color="000000"/>
          <w:right w:val="none" w:sz="4" w:space="0" w:color="000000"/>
          <w:insideH w:val="single" w:sz="4" w:space="0" w:color="5B9BD5"/>
          <w:insideV w:val="single" w:sz="4" w:space="0" w:color="5B9BD5"/>
        </w:tblBorders>
        <w:shd w:val="clear" w:color="DEEAF6" w:fill="DEEAF6"/>
        <w:tblLayout w:type="fixed"/>
        <w:tblLook w:val="04A0" w:firstRow="1" w:lastRow="0" w:firstColumn="1" w:lastColumn="0" w:noHBand="0" w:noVBand="1"/>
      </w:tblPr>
      <w:tblGrid>
        <w:gridCol w:w="1550"/>
        <w:gridCol w:w="2976"/>
      </w:tblGrid>
      <w:tr w:rsidR="00FB016D" w14:paraId="1EFC193A" w14:textId="77777777" w:rsidTr="001E5C08">
        <w:tc>
          <w:tcPr>
            <w:tcW w:w="1550" w:type="dxa"/>
            <w:tcBorders>
              <w:top w:val="single" w:sz="8" w:space="0" w:color="5B9BD5"/>
              <w:left w:val="single" w:sz="8" w:space="0" w:color="5B9BD5"/>
              <w:bottom w:val="single" w:sz="8" w:space="0" w:color="5B9BD5"/>
              <w:right w:val="single" w:sz="8" w:space="0" w:color="5B9BD5"/>
            </w:tcBorders>
            <w:tcMar>
              <w:top w:w="0" w:type="dxa"/>
              <w:left w:w="108" w:type="dxa"/>
              <w:bottom w:w="0" w:type="dxa"/>
              <w:right w:w="108" w:type="dxa"/>
            </w:tcMar>
            <w:vAlign w:val="center"/>
          </w:tcPr>
          <w:p w14:paraId="7C481DA9" w14:textId="77777777" w:rsidR="00FB016D" w:rsidRDefault="00FB016D" w:rsidP="00FB016D">
            <w:pPr>
              <w:pBdr>
                <w:top w:val="none" w:sz="4" w:space="0" w:color="000000"/>
                <w:left w:val="none" w:sz="4" w:space="0" w:color="000000"/>
                <w:bottom w:val="none" w:sz="4" w:space="0" w:color="000000"/>
                <w:right w:val="none" w:sz="4" w:space="0" w:color="000000"/>
              </w:pBdr>
              <w:shd w:val="clear" w:color="DEEAF6" w:fill="DEEAF6"/>
              <w:jc w:val="left"/>
            </w:pPr>
            <w:r>
              <w:rPr>
                <w:rFonts w:ascii="Arial" w:eastAsia="Arial" w:hAnsi="Arial" w:cs="Arial"/>
                <w:color w:val="1F4E79"/>
                <w:sz w:val="16"/>
              </w:rPr>
              <w:t>Rédaction de la fiche initiale (2005)</w:t>
            </w:r>
          </w:p>
        </w:tc>
        <w:tc>
          <w:tcPr>
            <w:tcW w:w="2976" w:type="dxa"/>
            <w:tcBorders>
              <w:top w:val="single" w:sz="8" w:space="0" w:color="5B9BD5"/>
              <w:bottom w:val="single" w:sz="8" w:space="0" w:color="5B9BD5"/>
              <w:right w:val="single" w:sz="8" w:space="0" w:color="5B9BD5"/>
            </w:tcBorders>
            <w:tcMar>
              <w:top w:w="0" w:type="dxa"/>
              <w:left w:w="108" w:type="dxa"/>
              <w:bottom w:w="0" w:type="dxa"/>
              <w:right w:w="108" w:type="dxa"/>
            </w:tcMar>
            <w:vAlign w:val="center"/>
          </w:tcPr>
          <w:p w14:paraId="75A6E715" w14:textId="34FED7E3" w:rsidR="00FB016D" w:rsidRDefault="00FB016D" w:rsidP="00FB016D">
            <w:pPr>
              <w:pBdr>
                <w:top w:val="none" w:sz="4" w:space="0" w:color="000000"/>
                <w:left w:val="none" w:sz="4" w:space="0" w:color="000000"/>
                <w:bottom w:val="none" w:sz="4" w:space="0" w:color="000000"/>
                <w:right w:val="none" w:sz="4" w:space="0" w:color="000000"/>
              </w:pBdr>
              <w:shd w:val="clear" w:color="DEEAF6" w:fill="DEEAF6"/>
              <w:jc w:val="left"/>
            </w:pPr>
            <w:r w:rsidRPr="006657E7">
              <w:rPr>
                <w:rFonts w:ascii="AvantGardeITCbyBT-Demi" w:hAnsi="AvantGardeITCbyBT-Demi" w:cs="AvantGardeITCbyBT-Demi"/>
                <w:color w:val="1F4E79" w:themeColor="accent1" w:themeShade="80"/>
                <w:sz w:val="16"/>
                <w:szCs w:val="16"/>
              </w:rPr>
              <w:t xml:space="preserve">Jean-Marie </w:t>
            </w:r>
            <w:proofErr w:type="spellStart"/>
            <w:r w:rsidRPr="006657E7">
              <w:rPr>
                <w:rFonts w:ascii="AvantGardeITCbyBT-Demi" w:hAnsi="AvantGardeITCbyBT-Demi" w:cs="AvantGardeITCbyBT-Demi"/>
                <w:color w:val="1F4E79" w:themeColor="accent1" w:themeShade="80"/>
                <w:sz w:val="16"/>
                <w:szCs w:val="16"/>
              </w:rPr>
              <w:t>Gourreau</w:t>
            </w:r>
            <w:proofErr w:type="spellEnd"/>
            <w:r w:rsidRPr="006657E7">
              <w:rPr>
                <w:rFonts w:ascii="Arial" w:eastAsia="Arial" w:hAnsi="Arial" w:cs="Arial"/>
                <w:color w:val="1F4E79" w:themeColor="accent1" w:themeShade="80"/>
                <w:sz w:val="16"/>
              </w:rPr>
              <w:t xml:space="preserve"> (</w:t>
            </w:r>
            <w:proofErr w:type="spellStart"/>
            <w:r w:rsidRPr="006657E7">
              <w:rPr>
                <w:rFonts w:ascii="Arial" w:eastAsia="Arial" w:hAnsi="Arial" w:cs="Arial"/>
                <w:color w:val="1F4E79" w:themeColor="accent1" w:themeShade="80"/>
                <w:sz w:val="16"/>
              </w:rPr>
              <w:t>Afssa</w:t>
            </w:r>
            <w:proofErr w:type="spellEnd"/>
            <w:r w:rsidRPr="006657E7">
              <w:rPr>
                <w:rFonts w:ascii="Arial" w:eastAsia="Arial" w:hAnsi="Arial" w:cs="Arial"/>
                <w:color w:val="1F4E79" w:themeColor="accent1" w:themeShade="80"/>
                <w:sz w:val="16"/>
              </w:rPr>
              <w:t xml:space="preserve"> Alfort)</w:t>
            </w:r>
          </w:p>
        </w:tc>
      </w:tr>
      <w:tr w:rsidR="00FB016D" w:rsidRPr="001E5C08" w14:paraId="1978785D" w14:textId="77777777" w:rsidTr="001E5C08">
        <w:tc>
          <w:tcPr>
            <w:tcW w:w="1550" w:type="dxa"/>
            <w:tcBorders>
              <w:left w:val="single" w:sz="8" w:space="0" w:color="5B9BD5"/>
              <w:bottom w:val="single" w:sz="8" w:space="0" w:color="5B9BD5"/>
              <w:right w:val="single" w:sz="8" w:space="0" w:color="5B9BD5"/>
            </w:tcBorders>
            <w:tcMar>
              <w:top w:w="0" w:type="dxa"/>
              <w:left w:w="108" w:type="dxa"/>
              <w:bottom w:w="0" w:type="dxa"/>
              <w:right w:w="108" w:type="dxa"/>
            </w:tcMar>
            <w:vAlign w:val="center"/>
          </w:tcPr>
          <w:p w14:paraId="48607EA4" w14:textId="77777777" w:rsidR="00FB016D" w:rsidRDefault="00FB016D" w:rsidP="00FB016D">
            <w:pPr>
              <w:pBdr>
                <w:top w:val="none" w:sz="4" w:space="0" w:color="000000"/>
                <w:left w:val="none" w:sz="4" w:space="0" w:color="000000"/>
                <w:bottom w:val="none" w:sz="4" w:space="0" w:color="000000"/>
                <w:right w:val="none" w:sz="4" w:space="0" w:color="000000"/>
              </w:pBdr>
              <w:shd w:val="clear" w:color="DEEAF6" w:fill="DEEAF6"/>
              <w:jc w:val="left"/>
            </w:pPr>
            <w:r>
              <w:rPr>
                <w:rFonts w:ascii="Arial" w:eastAsia="Arial" w:hAnsi="Arial" w:cs="Arial"/>
                <w:color w:val="1F4E79"/>
                <w:sz w:val="16"/>
              </w:rPr>
              <w:t xml:space="preserve">Révision </w:t>
            </w:r>
            <w:r>
              <w:rPr>
                <w:rFonts w:ascii="Arial" w:eastAsia="Arial" w:hAnsi="Arial" w:cs="Arial"/>
                <w:color w:val="1F4E79"/>
                <w:sz w:val="16"/>
              </w:rPr>
              <w:br/>
              <w:t xml:space="preserve"> de la fiche (2025) </w:t>
            </w:r>
          </w:p>
        </w:tc>
        <w:tc>
          <w:tcPr>
            <w:tcW w:w="2976" w:type="dxa"/>
            <w:tcBorders>
              <w:bottom w:val="single" w:sz="8" w:space="0" w:color="5B9BD5"/>
              <w:right w:val="single" w:sz="8" w:space="0" w:color="5B9BD5"/>
            </w:tcBorders>
            <w:tcMar>
              <w:top w:w="0" w:type="dxa"/>
              <w:left w:w="108" w:type="dxa"/>
              <w:bottom w:w="0" w:type="dxa"/>
              <w:right w:w="108" w:type="dxa"/>
            </w:tcMar>
            <w:vAlign w:val="center"/>
          </w:tcPr>
          <w:p w14:paraId="38E738BD" w14:textId="20A210DC" w:rsidR="00FB016D" w:rsidRPr="001E5C08" w:rsidRDefault="00FB016D" w:rsidP="00FB016D">
            <w:pPr>
              <w:pBdr>
                <w:top w:val="none" w:sz="4" w:space="0" w:color="000000"/>
                <w:left w:val="none" w:sz="4" w:space="0" w:color="000000"/>
                <w:bottom w:val="none" w:sz="4" w:space="0" w:color="000000"/>
                <w:right w:val="none" w:sz="4" w:space="0" w:color="000000"/>
              </w:pBdr>
              <w:shd w:val="clear" w:color="DEEAF6" w:fill="DEEAF6"/>
              <w:jc w:val="left"/>
              <w:rPr>
                <w:lang w:val="en-GB"/>
              </w:rPr>
            </w:pPr>
            <w:r>
              <w:rPr>
                <w:rFonts w:ascii="Arial" w:eastAsia="Arial" w:hAnsi="Arial" w:cs="Arial"/>
                <w:color w:val="1F4E79"/>
                <w:sz w:val="16"/>
              </w:rPr>
              <w:t xml:space="preserve">P. </w:t>
            </w:r>
            <w:proofErr w:type="spellStart"/>
            <w:r>
              <w:rPr>
                <w:rFonts w:ascii="Arial" w:eastAsia="Arial" w:hAnsi="Arial" w:cs="Arial"/>
                <w:color w:val="1F4E79"/>
                <w:sz w:val="16"/>
              </w:rPr>
              <w:t>Caufour</w:t>
            </w:r>
            <w:proofErr w:type="spellEnd"/>
            <w:r>
              <w:rPr>
                <w:rFonts w:ascii="Arial" w:eastAsia="Arial" w:hAnsi="Arial" w:cs="Arial"/>
                <w:color w:val="1F4E79"/>
                <w:sz w:val="16"/>
              </w:rPr>
              <w:t>, S. Guendouz (LNR, CIRAD)</w:t>
            </w:r>
            <w:r>
              <w:rPr>
                <w:rFonts w:ascii="Arial" w:eastAsia="Arial" w:hAnsi="Arial" w:cs="Arial"/>
                <w:color w:val="1F4E79"/>
                <w:sz w:val="16"/>
              </w:rPr>
              <w:br/>
              <w:t xml:space="preserve">G Gerbier, S </w:t>
            </w:r>
            <w:proofErr w:type="spellStart"/>
            <w:r>
              <w:rPr>
                <w:rFonts w:ascii="Arial" w:eastAsia="Arial" w:hAnsi="Arial" w:cs="Arial"/>
                <w:color w:val="1F4E79"/>
                <w:sz w:val="16"/>
              </w:rPr>
              <w:t>Rautureau</w:t>
            </w:r>
            <w:proofErr w:type="spellEnd"/>
            <w:r>
              <w:rPr>
                <w:rFonts w:ascii="Arial" w:eastAsia="Arial" w:hAnsi="Arial" w:cs="Arial"/>
                <w:color w:val="1F4E79"/>
                <w:sz w:val="16"/>
              </w:rPr>
              <w:t xml:space="preserve"> (DGAL)</w:t>
            </w:r>
          </w:p>
        </w:tc>
      </w:tr>
    </w:tbl>
    <w:p w14:paraId="2D56E2CC" w14:textId="2FACFB54" w:rsidR="00787802" w:rsidRDefault="00787802" w:rsidP="00787802">
      <w:pPr>
        <w:rPr>
          <w:sz w:val="8"/>
          <w:szCs w:val="8"/>
        </w:rPr>
      </w:pPr>
    </w:p>
    <w:p w14:paraId="4A3FDE73" w14:textId="77777777" w:rsidR="00FB016D" w:rsidRDefault="00FB016D" w:rsidP="00FB016D">
      <w:r>
        <w:t xml:space="preserve">La dermatose nodulaire contagieuse (DNC) est une </w:t>
      </w:r>
      <w:r>
        <w:rPr>
          <w:b/>
        </w:rPr>
        <w:t>maladie virale</w:t>
      </w:r>
      <w:r>
        <w:t xml:space="preserve"> des </w:t>
      </w:r>
      <w:r>
        <w:rPr>
          <w:b/>
        </w:rPr>
        <w:t>bovins</w:t>
      </w:r>
      <w:r>
        <w:t xml:space="preserve"> caractérisée par l’apparition brutale de </w:t>
      </w:r>
      <w:r>
        <w:rPr>
          <w:b/>
        </w:rPr>
        <w:t>nodules</w:t>
      </w:r>
      <w:r>
        <w:t xml:space="preserve"> sur la </w:t>
      </w:r>
      <w:r>
        <w:rPr>
          <w:b/>
        </w:rPr>
        <w:t>peau</w:t>
      </w:r>
      <w:r>
        <w:t xml:space="preserve"> et les </w:t>
      </w:r>
      <w:r>
        <w:rPr>
          <w:b/>
        </w:rPr>
        <w:t>muqueuses internes</w:t>
      </w:r>
      <w:r>
        <w:t xml:space="preserve">. Elle s’accompagne d’une </w:t>
      </w:r>
      <w:r>
        <w:rPr>
          <w:b/>
        </w:rPr>
        <w:t>forte fièvre</w:t>
      </w:r>
      <w:r>
        <w:t xml:space="preserve">, de </w:t>
      </w:r>
      <w:r>
        <w:rPr>
          <w:b/>
        </w:rPr>
        <w:t>lymphangite</w:t>
      </w:r>
      <w:r>
        <w:t xml:space="preserve"> et d’</w:t>
      </w:r>
      <w:r>
        <w:rPr>
          <w:b/>
        </w:rPr>
        <w:t xml:space="preserve">adénite. </w:t>
      </w:r>
      <w:r>
        <w:t xml:space="preserve">Elle est </w:t>
      </w:r>
      <w:r>
        <w:rPr>
          <w:b/>
        </w:rPr>
        <w:t xml:space="preserve">inscrite sur la liste des maladies de catégorie A de la Loi Santé Animale </w:t>
      </w:r>
      <w:r>
        <w:t>européenne (règlement UE 2016/429).</w:t>
      </w:r>
    </w:p>
    <w:p w14:paraId="0F45AD15" w14:textId="77777777" w:rsidR="00FB016D" w:rsidRDefault="00FB016D" w:rsidP="00FB016D">
      <w:pPr>
        <w:pStyle w:val="Titre2"/>
      </w:pPr>
      <w:r>
        <w:t>ETIOLOGIE</w:t>
      </w:r>
    </w:p>
    <w:p w14:paraId="7F0DC728" w14:textId="77777777" w:rsidR="00FB016D" w:rsidRDefault="00FB016D" w:rsidP="00FB016D">
      <w:pPr>
        <w:pStyle w:val="Titre3"/>
      </w:pPr>
      <w:r>
        <w:t>Classification</w:t>
      </w:r>
    </w:p>
    <w:p w14:paraId="4E9E4324" w14:textId="77777777" w:rsidR="00FB016D" w:rsidRDefault="00FB016D" w:rsidP="00FB016D">
      <w:pPr>
        <w:rPr>
          <w:b/>
        </w:rPr>
      </w:pPr>
      <w:r>
        <w:t xml:space="preserve">La DNC est causée par un virus de la famille des </w:t>
      </w:r>
      <w:proofErr w:type="spellStart"/>
      <w:r>
        <w:rPr>
          <w:b/>
        </w:rPr>
        <w:t>Poxviridae</w:t>
      </w:r>
      <w:proofErr w:type="spellEnd"/>
      <w:r>
        <w:t xml:space="preserve"> et du genre </w:t>
      </w:r>
      <w:proofErr w:type="spellStart"/>
      <w:r>
        <w:t>Capripoxvirus</w:t>
      </w:r>
      <w:proofErr w:type="spellEnd"/>
      <w:r>
        <w:t xml:space="preserve"> (</w:t>
      </w:r>
      <w:proofErr w:type="spellStart"/>
      <w:r>
        <w:t>CaPV</w:t>
      </w:r>
      <w:proofErr w:type="spellEnd"/>
      <w:r>
        <w:t>), genre viral auquel appartiennent également les virus des varioles ovine et caprine. Observables en microscopie électronique, les CaPV ont une forme caractéristique en « brique ». Ils sont recouverts d’une enveloppe externe de nature lipoprotéique renfermant deux corps latéraux lenticulaires, dont les fonctions sont inconnues.</w:t>
      </w:r>
    </w:p>
    <w:p w14:paraId="28828E6D" w14:textId="77777777" w:rsidR="00FB016D" w:rsidRDefault="00FB016D" w:rsidP="00FB016D">
      <w:pPr>
        <w:pStyle w:val="Titre3"/>
      </w:pPr>
      <w:r>
        <w:t>Pouvoir pathogène</w:t>
      </w:r>
    </w:p>
    <w:p w14:paraId="339EB6FA" w14:textId="77777777" w:rsidR="00FB016D" w:rsidRDefault="00FB016D" w:rsidP="00FB016D">
      <w:r>
        <w:t xml:space="preserve">Dans les conditions naturelles, le virus de la DNC (DNCV) n’est pathogène que pour les </w:t>
      </w:r>
      <w:r>
        <w:rPr>
          <w:b/>
        </w:rPr>
        <w:t>bovinés</w:t>
      </w:r>
      <w:r>
        <w:t xml:space="preserve">. La nature des souches virales, l’âge des animaux, la race, l’état général associé aux conditions d’élevage mais aussi des facteurs individuels encore indéterminés </w:t>
      </w:r>
      <w:r>
        <w:lastRenderedPageBreak/>
        <w:t>semblent susceptibles influencer la sévérité des signes cliniques observés chez les animaux infectés.</w:t>
      </w:r>
    </w:p>
    <w:p w14:paraId="6ADE6451" w14:textId="77777777" w:rsidR="00FB016D" w:rsidRDefault="00FB016D" w:rsidP="00FB016D">
      <w:pPr>
        <w:pStyle w:val="Titre3"/>
      </w:pPr>
      <w:r>
        <w:t>Pouvoir antigène et immunogène</w:t>
      </w:r>
    </w:p>
    <w:p w14:paraId="70BB6CE9" w14:textId="77777777" w:rsidR="00FB016D" w:rsidRDefault="00FB016D" w:rsidP="00FB016D">
      <w:r>
        <w:t xml:space="preserve">Il n’existe qu’un seul et unique sérotype au sein des CaPV. Des </w:t>
      </w:r>
      <w:r w:rsidRPr="00F828FC">
        <w:rPr>
          <w:b/>
          <w:bCs/>
        </w:rPr>
        <w:t>réactions sérologiques croisées</w:t>
      </w:r>
      <w:r>
        <w:t xml:space="preserve"> existent donc entre le </w:t>
      </w:r>
      <w:r w:rsidRPr="00F828FC">
        <w:rPr>
          <w:b/>
          <w:bCs/>
        </w:rPr>
        <w:t>DNCV</w:t>
      </w:r>
      <w:r>
        <w:t xml:space="preserve"> et les autres </w:t>
      </w:r>
      <w:r w:rsidRPr="00F828FC">
        <w:rPr>
          <w:b/>
          <w:bCs/>
        </w:rPr>
        <w:t>CaPV</w:t>
      </w:r>
      <w:r>
        <w:t xml:space="preserve"> et, dans une moindre mesure, avec les </w:t>
      </w:r>
      <w:proofErr w:type="spellStart"/>
      <w:r>
        <w:t>Parapoxvirus</w:t>
      </w:r>
      <w:proofErr w:type="spellEnd"/>
      <w:r>
        <w:t xml:space="preserve"> infectant les bovins (Virus de la stomatite papuleuse bovine, Virus </w:t>
      </w:r>
      <w:proofErr w:type="spellStart"/>
      <w:r>
        <w:t>pseudocowpox</w:t>
      </w:r>
      <w:proofErr w:type="spellEnd"/>
      <w:r>
        <w:t>).</w:t>
      </w:r>
    </w:p>
    <w:p w14:paraId="614E1FA7" w14:textId="77777777" w:rsidR="00FB016D" w:rsidRDefault="00FB016D" w:rsidP="00FB016D">
      <w:bookmarkStart w:id="4" w:name="_Hlk191551192"/>
      <w:r>
        <w:t>Le DNCV engendre l’apparition d’</w:t>
      </w:r>
      <w:r>
        <w:rPr>
          <w:b/>
        </w:rPr>
        <w:t>anticorps</w:t>
      </w:r>
      <w:r>
        <w:t>, détectables 14 jours après le début de l’infection et qui persistent en moyenne pendant 6 mois.</w:t>
      </w:r>
    </w:p>
    <w:p w14:paraId="0D2130FF" w14:textId="77777777" w:rsidR="00FB016D" w:rsidRDefault="00FB016D" w:rsidP="00FB016D">
      <w:r>
        <w:t xml:space="preserve">Les animaux qui survivent à la maladie présentent une </w:t>
      </w:r>
      <w:r>
        <w:rPr>
          <w:b/>
        </w:rPr>
        <w:t>immunité solide et durable</w:t>
      </w:r>
      <w:r>
        <w:t>. Les veaux nés de mères immunisées bénéficient de l’</w:t>
      </w:r>
      <w:r>
        <w:rPr>
          <w:b/>
        </w:rPr>
        <w:t xml:space="preserve">immunité passive </w:t>
      </w:r>
      <w:proofErr w:type="spellStart"/>
      <w:r>
        <w:rPr>
          <w:b/>
        </w:rPr>
        <w:t>colostrale</w:t>
      </w:r>
      <w:proofErr w:type="spellEnd"/>
      <w:r>
        <w:rPr>
          <w:b/>
        </w:rPr>
        <w:t xml:space="preserve"> pendant six à huit semaines</w:t>
      </w:r>
      <w:r>
        <w:t>.</w:t>
      </w:r>
    </w:p>
    <w:p w14:paraId="4D616C9F" w14:textId="77777777" w:rsidR="00FB016D" w:rsidRDefault="00FB016D" w:rsidP="00FB016D">
      <w:pPr>
        <w:rPr>
          <w:b/>
        </w:rPr>
      </w:pPr>
      <w:bookmarkStart w:id="5" w:name="_Hlk191500034"/>
      <w:bookmarkEnd w:id="4"/>
      <w:r>
        <w:t xml:space="preserve">Plusieurs </w:t>
      </w:r>
      <w:r>
        <w:rPr>
          <w:b/>
        </w:rPr>
        <w:t>vaccins à virus vivant atténué</w:t>
      </w:r>
      <w:r>
        <w:t xml:space="preserve"> par passages en culture cellulaire ont été mis au point à partir de souches virales </w:t>
      </w:r>
      <w:r>
        <w:rPr>
          <w:b/>
        </w:rPr>
        <w:t>homologues</w:t>
      </w:r>
      <w:r>
        <w:t xml:space="preserve"> (DNCV) ou </w:t>
      </w:r>
      <w:r>
        <w:rPr>
          <w:b/>
        </w:rPr>
        <w:t>hétérologues</w:t>
      </w:r>
      <w:r>
        <w:t xml:space="preserve"> (SPPV, GTPV). </w:t>
      </w:r>
      <w:r>
        <w:rPr>
          <w:b/>
        </w:rPr>
        <w:t xml:space="preserve"> Le recours à une souche vaccinale homologue est aujourd’hui recommandé.</w:t>
      </w:r>
      <w:bookmarkEnd w:id="5"/>
      <w:r>
        <w:rPr>
          <w:b/>
        </w:rPr>
        <w:t xml:space="preserve"> </w:t>
      </w:r>
    </w:p>
    <w:p w14:paraId="2D90DC44" w14:textId="77777777" w:rsidR="00FB016D" w:rsidRDefault="00FB016D" w:rsidP="00FB016D">
      <w:pPr>
        <w:pStyle w:val="Titre2"/>
      </w:pPr>
      <w:r>
        <w:t>ESPÈCES AFFECTÉES</w:t>
      </w:r>
    </w:p>
    <w:p w14:paraId="295EE1A4" w14:textId="77777777" w:rsidR="00FB016D" w:rsidRDefault="00FB016D" w:rsidP="00FB016D">
      <w:r>
        <w:t xml:space="preserve">Seuls les </w:t>
      </w:r>
      <w:r>
        <w:rPr>
          <w:b/>
        </w:rPr>
        <w:t>bovins, zébus</w:t>
      </w:r>
      <w:r>
        <w:t xml:space="preserve"> </w:t>
      </w:r>
      <w:r w:rsidRPr="0059673D">
        <w:rPr>
          <w:b/>
          <w:bCs/>
        </w:rPr>
        <w:t>et buffles d’eau</w:t>
      </w:r>
      <w:r>
        <w:t xml:space="preserve"> (</w:t>
      </w:r>
      <w:proofErr w:type="spellStart"/>
      <w:r w:rsidRPr="0059673D">
        <w:rPr>
          <w:i/>
          <w:iCs/>
        </w:rPr>
        <w:t>Bubalis</w:t>
      </w:r>
      <w:proofErr w:type="spellEnd"/>
      <w:r w:rsidRPr="0059673D">
        <w:rPr>
          <w:i/>
          <w:iCs/>
        </w:rPr>
        <w:t xml:space="preserve"> </w:t>
      </w:r>
      <w:proofErr w:type="spellStart"/>
      <w:r w:rsidRPr="0059673D">
        <w:rPr>
          <w:i/>
          <w:iCs/>
        </w:rPr>
        <w:t>bubalis</w:t>
      </w:r>
      <w:proofErr w:type="spellEnd"/>
      <w:r>
        <w:t>) extériorisent cliniquement la maladie. Les buffles semblant présenter une forme clinique moins sévère. Des cas ont été rapportés au sein de la faune sauvage (Oryx (</w:t>
      </w:r>
      <w:r w:rsidRPr="0059673D">
        <w:rPr>
          <w:i/>
          <w:iCs/>
        </w:rPr>
        <w:t xml:space="preserve">Oryx </w:t>
      </w:r>
      <w:proofErr w:type="spellStart"/>
      <w:r w:rsidRPr="0059673D">
        <w:rPr>
          <w:i/>
          <w:iCs/>
        </w:rPr>
        <w:t>leucoryx</w:t>
      </w:r>
      <w:proofErr w:type="spellEnd"/>
      <w:r>
        <w:t>), Impalas (</w:t>
      </w:r>
      <w:proofErr w:type="spellStart"/>
      <w:r w:rsidRPr="0059673D">
        <w:rPr>
          <w:i/>
          <w:iCs/>
        </w:rPr>
        <w:t>Aepyceros</w:t>
      </w:r>
      <w:proofErr w:type="spellEnd"/>
      <w:r w:rsidRPr="0059673D">
        <w:rPr>
          <w:i/>
          <w:iCs/>
        </w:rPr>
        <w:t xml:space="preserve"> </w:t>
      </w:r>
      <w:proofErr w:type="spellStart"/>
      <w:r w:rsidRPr="0059673D">
        <w:rPr>
          <w:i/>
          <w:iCs/>
        </w:rPr>
        <w:t>melampus</w:t>
      </w:r>
      <w:proofErr w:type="spellEnd"/>
      <w:r>
        <w:t>), girafe (</w:t>
      </w:r>
      <w:proofErr w:type="spellStart"/>
      <w:r w:rsidRPr="0059673D">
        <w:rPr>
          <w:i/>
          <w:iCs/>
        </w:rPr>
        <w:t>Giraffa</w:t>
      </w:r>
      <w:proofErr w:type="spellEnd"/>
      <w:r w:rsidRPr="0059673D">
        <w:rPr>
          <w:i/>
          <w:iCs/>
        </w:rPr>
        <w:t xml:space="preserve"> </w:t>
      </w:r>
      <w:proofErr w:type="spellStart"/>
      <w:r w:rsidRPr="0059673D">
        <w:rPr>
          <w:i/>
          <w:iCs/>
        </w:rPr>
        <w:t>Cameolopardalis</w:t>
      </w:r>
      <w:proofErr w:type="spellEnd"/>
      <w:r>
        <w:t xml:space="preserve">)). Des </w:t>
      </w:r>
      <w:r>
        <w:rPr>
          <w:rFonts w:hint="eastAsia"/>
        </w:rPr>
        <w:t>é</w:t>
      </w:r>
      <w:r>
        <w:t>tudes suppl</w:t>
      </w:r>
      <w:r>
        <w:rPr>
          <w:rFonts w:hint="eastAsia"/>
        </w:rPr>
        <w:t>é</w:t>
      </w:r>
      <w:r>
        <w:t>mentaires apparaissent n</w:t>
      </w:r>
      <w:r>
        <w:rPr>
          <w:rFonts w:hint="eastAsia"/>
        </w:rPr>
        <w:t>é</w:t>
      </w:r>
      <w:r>
        <w:t xml:space="preserve">cessaires </w:t>
      </w:r>
      <w:r>
        <w:lastRenderedPageBreak/>
        <w:t>pour d</w:t>
      </w:r>
      <w:r>
        <w:rPr>
          <w:rFonts w:hint="eastAsia"/>
        </w:rPr>
        <w:t>é</w:t>
      </w:r>
      <w:r>
        <w:t>terminer la susceptibilit</w:t>
      </w:r>
      <w:r>
        <w:rPr>
          <w:rFonts w:hint="eastAsia"/>
        </w:rPr>
        <w:t>é</w:t>
      </w:r>
      <w:r>
        <w:t xml:space="preserve"> d’autres esp</w:t>
      </w:r>
      <w:r>
        <w:rPr>
          <w:rFonts w:hint="eastAsia"/>
        </w:rPr>
        <w:t>è</w:t>
      </w:r>
      <w:r>
        <w:t>ces de ruminants sauvages vis-</w:t>
      </w:r>
      <w:r>
        <w:rPr>
          <w:rFonts w:hint="eastAsia"/>
        </w:rPr>
        <w:t>à</w:t>
      </w:r>
      <w:r>
        <w:t>-vis du DNCV.</w:t>
      </w:r>
    </w:p>
    <w:p w14:paraId="38030840" w14:textId="77777777" w:rsidR="00FB016D" w:rsidRDefault="00FB016D" w:rsidP="00FB016D">
      <w:r>
        <w:t xml:space="preserve">La DNC n’est pas zoonotique. </w:t>
      </w:r>
    </w:p>
    <w:p w14:paraId="67605783" w14:textId="77777777" w:rsidR="00FB016D" w:rsidRDefault="00FB016D" w:rsidP="00FB016D">
      <w:pPr>
        <w:pStyle w:val="Titre2"/>
      </w:pPr>
      <w:r>
        <w:t>EPIDÉMIOLOGIE</w:t>
      </w:r>
    </w:p>
    <w:p w14:paraId="760A3BBD" w14:textId="77777777" w:rsidR="00FB016D" w:rsidRDefault="00FB016D" w:rsidP="00FB016D">
      <w:r>
        <w:t xml:space="preserve">La maladie évolue classiquement sous une forme </w:t>
      </w:r>
      <w:r>
        <w:rPr>
          <w:b/>
        </w:rPr>
        <w:t>enzootique</w:t>
      </w:r>
      <w:r>
        <w:t xml:space="preserve">, avec </w:t>
      </w:r>
      <w:r>
        <w:rPr>
          <w:b/>
        </w:rPr>
        <w:t>flamb</w:t>
      </w:r>
      <w:r>
        <w:rPr>
          <w:rFonts w:cs="Marianne"/>
          <w:b/>
        </w:rPr>
        <w:t>é</w:t>
      </w:r>
      <w:r>
        <w:rPr>
          <w:b/>
        </w:rPr>
        <w:t>es p</w:t>
      </w:r>
      <w:r>
        <w:rPr>
          <w:rFonts w:cs="Marianne"/>
          <w:b/>
        </w:rPr>
        <w:t>é</w:t>
      </w:r>
      <w:r>
        <w:rPr>
          <w:b/>
        </w:rPr>
        <w:t>riodiques</w:t>
      </w:r>
      <w:r>
        <w:t xml:space="preserve"> lorsque les conditions climatiques sont favorables. Les foyers apparaissent en g</w:t>
      </w:r>
      <w:r>
        <w:rPr>
          <w:rFonts w:cs="Marianne"/>
        </w:rPr>
        <w:t>é</w:t>
      </w:r>
      <w:r>
        <w:t>n</w:t>
      </w:r>
      <w:r>
        <w:rPr>
          <w:rFonts w:cs="Marianne"/>
        </w:rPr>
        <w:t>é</w:t>
      </w:r>
      <w:r>
        <w:t xml:space="preserve">ral aux </w:t>
      </w:r>
      <w:r>
        <w:rPr>
          <w:b/>
        </w:rPr>
        <w:t>p</w:t>
      </w:r>
      <w:r>
        <w:rPr>
          <w:rFonts w:cs="Marianne"/>
          <w:b/>
        </w:rPr>
        <w:t>é</w:t>
      </w:r>
      <w:r>
        <w:rPr>
          <w:b/>
        </w:rPr>
        <w:t>riodes de pullulation des insectes</w:t>
      </w:r>
      <w:r>
        <w:t>. Il a été démontré en particulier le rôle de vecteur mécanique joué par les Stomoxes (</w:t>
      </w:r>
      <w:r w:rsidRPr="00040576">
        <w:rPr>
          <w:i/>
          <w:iCs/>
        </w:rPr>
        <w:t xml:space="preserve">Stomoxys </w:t>
      </w:r>
      <w:proofErr w:type="spellStart"/>
      <w:r>
        <w:rPr>
          <w:i/>
          <w:iCs/>
        </w:rPr>
        <w:t>c</w:t>
      </w:r>
      <w:r w:rsidRPr="00040576">
        <w:rPr>
          <w:i/>
          <w:iCs/>
        </w:rPr>
        <w:t>alcitrans</w:t>
      </w:r>
      <w:proofErr w:type="spellEnd"/>
      <w:r>
        <w:t xml:space="preserve">). La </w:t>
      </w:r>
      <w:r>
        <w:rPr>
          <w:rFonts w:ascii="Courier New" w:hAnsi="Courier New" w:cs="Courier New"/>
        </w:rPr>
        <w:fldChar w:fldCharType="begin"/>
      </w:r>
      <w:r>
        <w:instrText xml:space="preserve"> REF _Ref181621191 \h </w:instrText>
      </w:r>
      <w:r>
        <w:rPr>
          <w:rFonts w:ascii="Courier New" w:hAnsi="Courier New" w:cs="Courier New"/>
        </w:rPr>
      </w:r>
      <w:r>
        <w:rPr>
          <w:rFonts w:ascii="Courier New" w:hAnsi="Courier New" w:cs="Courier New"/>
        </w:rPr>
        <w:fldChar w:fldCharType="separate"/>
      </w:r>
      <w:r>
        <w:t>Figure 1</w:t>
      </w:r>
      <w:r>
        <w:rPr>
          <w:rFonts w:ascii="Courier New" w:hAnsi="Courier New" w:cs="Courier New"/>
        </w:rPr>
        <w:fldChar w:fldCharType="end"/>
      </w:r>
      <w:r>
        <w:t xml:space="preserve"> pr</w:t>
      </w:r>
      <w:r>
        <w:rPr>
          <w:rFonts w:cs="Marianne"/>
        </w:rPr>
        <w:t>é</w:t>
      </w:r>
      <w:r>
        <w:t>sente la r</w:t>
      </w:r>
      <w:r>
        <w:rPr>
          <w:rFonts w:cs="Marianne"/>
        </w:rPr>
        <w:t>é</w:t>
      </w:r>
      <w:r>
        <w:t>partition de la maladie dans le monde. La DNC a atteint les Balkans en 2015-2016 et a été éradiquée grâce à un ensemble de mesures de lutte, parmi lesquels une campagne de vaccination régionale qui a joué un rôle déterminant. La DNC est présente en Afrique du Nord depuis 2023.</w:t>
      </w:r>
    </w:p>
    <w:p w14:paraId="5D5B5CCA" w14:textId="77777777" w:rsidR="00FB016D" w:rsidRDefault="00FB016D" w:rsidP="00FB016D">
      <w:r>
        <w:rPr>
          <w:noProof/>
          <w:lang w:eastAsia="fr-FR"/>
        </w:rPr>
        <w:drawing>
          <wp:inline distT="0" distB="0" distL="0" distR="0" wp14:anchorId="63451552" wp14:editId="0055915F">
            <wp:extent cx="2872455" cy="1581754"/>
            <wp:effectExtent l="0" t="0" r="4445" b="0"/>
            <wp:docPr id="1"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pic:cNvPicPr>
                  </pic:nvPicPr>
                  <pic:blipFill>
                    <a:blip r:embed="rId10"/>
                    <a:stretch/>
                  </pic:blipFill>
                  <pic:spPr bwMode="auto">
                    <a:xfrm>
                      <a:off x="0" y="0"/>
                      <a:ext cx="2899088" cy="1596420"/>
                    </a:xfrm>
                    <a:prstGeom prst="rect">
                      <a:avLst/>
                    </a:prstGeom>
                    <a:noFill/>
                  </pic:spPr>
                </pic:pic>
              </a:graphicData>
            </a:graphic>
          </wp:inline>
        </w:drawing>
      </w:r>
    </w:p>
    <w:p w14:paraId="1503A0BB" w14:textId="3AB3696F" w:rsidR="00FB016D" w:rsidRDefault="00FB016D" w:rsidP="00FB016D">
      <w:pPr>
        <w:pStyle w:val="Lgende"/>
      </w:pPr>
      <w:r>
        <w:t xml:space="preserve">Figure </w:t>
      </w:r>
      <w:fldSimple w:instr=" SEQ Figure \* ARABIC ">
        <w:r>
          <w:t>1</w:t>
        </w:r>
      </w:fldSimple>
      <w:r>
        <w:t> : Foyers de DNC dans le monde entre le 01/01/2020 et le 5/11/2024. La DNC est enzootique en Afrique sub-saharienne (Source : EMPRES-i, novembre 2024)</w:t>
      </w:r>
    </w:p>
    <w:p w14:paraId="36DBA235" w14:textId="77777777" w:rsidR="00565C0C" w:rsidRDefault="00565C0C" w:rsidP="00565C0C">
      <w:r>
        <w:t xml:space="preserve">L’importance </w:t>
      </w:r>
      <w:r>
        <w:rPr>
          <w:b/>
        </w:rPr>
        <w:t>économique</w:t>
      </w:r>
      <w:r>
        <w:t xml:space="preserve"> de la maladie est double : outre l’</w:t>
      </w:r>
      <w:r>
        <w:rPr>
          <w:b/>
        </w:rPr>
        <w:t>atteinte de l’état général</w:t>
      </w:r>
      <w:r>
        <w:t xml:space="preserve"> qui entraîne un amaigrissement important, une chute de la </w:t>
      </w:r>
      <w:r>
        <w:lastRenderedPageBreak/>
        <w:t xml:space="preserve">production lactée et une baisse de la fécondité, elle provoque des </w:t>
      </w:r>
      <w:r>
        <w:rPr>
          <w:b/>
        </w:rPr>
        <w:t>dégâts irrémédiables aux cuirs et peaux</w:t>
      </w:r>
      <w:r>
        <w:t>.</w:t>
      </w:r>
    </w:p>
    <w:p w14:paraId="0FE09C5F" w14:textId="77777777" w:rsidR="00565C0C" w:rsidRPr="00565C0C" w:rsidRDefault="00565C0C" w:rsidP="00565C0C"/>
    <w:p w14:paraId="4739E1BA" w14:textId="77777777" w:rsidR="00FB016D" w:rsidRDefault="00FB016D" w:rsidP="00FB016D">
      <w:pPr>
        <w:pStyle w:val="Titre3"/>
      </w:pPr>
      <w:r>
        <w:t>Source du virus</w:t>
      </w:r>
    </w:p>
    <w:p w14:paraId="12957477" w14:textId="77777777" w:rsidR="00FB016D" w:rsidRDefault="00FB016D" w:rsidP="00FB016D">
      <w:r>
        <w:rPr>
          <w:b/>
        </w:rPr>
        <w:t>Les principales sources possibles de virus</w:t>
      </w:r>
      <w:r>
        <w:t xml:space="preserve"> sont les </w:t>
      </w:r>
      <w:r w:rsidRPr="00040576">
        <w:rPr>
          <w:b/>
          <w:bCs/>
        </w:rPr>
        <w:t>nodules</w:t>
      </w:r>
      <w:r>
        <w:t xml:space="preserve">, </w:t>
      </w:r>
      <w:r w:rsidRPr="00040576">
        <w:rPr>
          <w:b/>
          <w:bCs/>
        </w:rPr>
        <w:t>squames</w:t>
      </w:r>
      <w:r>
        <w:t xml:space="preserve"> et </w:t>
      </w:r>
      <w:r w:rsidRPr="00040576">
        <w:rPr>
          <w:b/>
          <w:bCs/>
        </w:rPr>
        <w:t>croutes</w:t>
      </w:r>
      <w:r>
        <w:t xml:space="preserve">, le </w:t>
      </w:r>
      <w:r>
        <w:rPr>
          <w:b/>
        </w:rPr>
        <w:t>jetage</w:t>
      </w:r>
      <w:r>
        <w:t xml:space="preserve">, les </w:t>
      </w:r>
      <w:r>
        <w:rPr>
          <w:b/>
        </w:rPr>
        <w:t>larmes</w:t>
      </w:r>
      <w:r>
        <w:t xml:space="preserve">, la </w:t>
      </w:r>
      <w:r>
        <w:rPr>
          <w:b/>
        </w:rPr>
        <w:t>salive, la semence</w:t>
      </w:r>
      <w:r>
        <w:t xml:space="preserve"> et le </w:t>
      </w:r>
      <w:r>
        <w:rPr>
          <w:b/>
        </w:rPr>
        <w:t>lait</w:t>
      </w:r>
      <w:r>
        <w:t xml:space="preserve">. Dans les lésions cutanées des animaux convalescents, le virus peut être isolé pendant 39 jours et détecté jusqu’à 92 jours. </w:t>
      </w:r>
    </w:p>
    <w:p w14:paraId="0AA1AF2F" w14:textId="77777777" w:rsidR="00FB016D" w:rsidRDefault="00FB016D" w:rsidP="00FB016D">
      <w:pPr>
        <w:pStyle w:val="Titre3"/>
      </w:pPr>
      <w:r>
        <w:t>Survie du virus</w:t>
      </w:r>
    </w:p>
    <w:p w14:paraId="77CA4928" w14:textId="77777777" w:rsidR="00FB016D" w:rsidRDefault="00FB016D" w:rsidP="00FB016D">
      <w:r>
        <w:t xml:space="preserve">Sa </w:t>
      </w:r>
      <w:r>
        <w:rPr>
          <w:b/>
        </w:rPr>
        <w:t>résistance</w:t>
      </w:r>
      <w:r>
        <w:t xml:space="preserve"> est très grande dans le milieu extérieur : il faut au moins 80 jours à 20°C, 8-10 jours à 37°C et 1h à 56°C pour l’inactiver. En revanche, il est </w:t>
      </w:r>
      <w:r>
        <w:rPr>
          <w:b/>
        </w:rPr>
        <w:t>très sensible aux rayons ultra-violets</w:t>
      </w:r>
      <w:r>
        <w:t>. Les variations de pH importantes n’ont d’action qu’</w:t>
      </w:r>
      <w:r>
        <w:rPr>
          <w:b/>
        </w:rPr>
        <w:t>à haute température</w:t>
      </w:r>
      <w:r>
        <w:t xml:space="preserve"> : il est stable à des pH compris entre 2 et 10 à 20°C mais rapidement inactivé à ces mêmes pH si la température atteint 37°C. Il est également </w:t>
      </w:r>
      <w:r>
        <w:rPr>
          <w:b/>
        </w:rPr>
        <w:t xml:space="preserve">sensible aux solvants des lipides. </w:t>
      </w:r>
    </w:p>
    <w:p w14:paraId="26656E62" w14:textId="77777777" w:rsidR="00FB016D" w:rsidRDefault="00FB016D" w:rsidP="00FB016D">
      <w:pPr>
        <w:pStyle w:val="Titre3"/>
      </w:pPr>
      <w:r>
        <w:t>Rôles des espèces sensibles</w:t>
      </w:r>
    </w:p>
    <w:p w14:paraId="1C4859FB" w14:textId="77777777" w:rsidR="00FB016D" w:rsidRDefault="00FB016D" w:rsidP="00FB016D">
      <w:r>
        <w:t xml:space="preserve">Les facteurs gouvernant la sévérité de la maladie ne sont pas identifiés. Les </w:t>
      </w:r>
      <w:r w:rsidRPr="00040576">
        <w:rPr>
          <w:b/>
          <w:bCs/>
        </w:rPr>
        <w:t>bovins</w:t>
      </w:r>
      <w:r>
        <w:t xml:space="preserve"> (</w:t>
      </w:r>
      <w:r>
        <w:rPr>
          <w:i/>
          <w:iCs/>
        </w:rPr>
        <w:t>B</w:t>
      </w:r>
      <w:r w:rsidRPr="00040576">
        <w:rPr>
          <w:i/>
          <w:iCs/>
        </w:rPr>
        <w:t xml:space="preserve">os </w:t>
      </w:r>
      <w:proofErr w:type="spellStart"/>
      <w:r w:rsidRPr="00040576">
        <w:rPr>
          <w:i/>
          <w:iCs/>
        </w:rPr>
        <w:t>taurus</w:t>
      </w:r>
      <w:proofErr w:type="spellEnd"/>
      <w:r>
        <w:t xml:space="preserve">), </w:t>
      </w:r>
      <w:r w:rsidRPr="00040576">
        <w:rPr>
          <w:b/>
          <w:bCs/>
        </w:rPr>
        <w:t>zébus</w:t>
      </w:r>
      <w:r>
        <w:t xml:space="preserve"> (</w:t>
      </w:r>
      <w:r>
        <w:rPr>
          <w:i/>
          <w:iCs/>
        </w:rPr>
        <w:t>B</w:t>
      </w:r>
      <w:r w:rsidRPr="00040576">
        <w:rPr>
          <w:i/>
          <w:iCs/>
        </w:rPr>
        <w:t xml:space="preserve">os </w:t>
      </w:r>
      <w:proofErr w:type="spellStart"/>
      <w:r w:rsidRPr="00040576">
        <w:rPr>
          <w:i/>
          <w:iCs/>
        </w:rPr>
        <w:t>taurus</w:t>
      </w:r>
      <w:proofErr w:type="spellEnd"/>
      <w:r>
        <w:t xml:space="preserve"> </w:t>
      </w:r>
      <w:proofErr w:type="spellStart"/>
      <w:r>
        <w:t>indicus</w:t>
      </w:r>
      <w:proofErr w:type="spellEnd"/>
      <w:r>
        <w:t xml:space="preserve">) et </w:t>
      </w:r>
      <w:r w:rsidRPr="00040576">
        <w:rPr>
          <w:b/>
          <w:bCs/>
        </w:rPr>
        <w:t>buffles d’eau</w:t>
      </w:r>
      <w:r>
        <w:t xml:space="preserve"> (</w:t>
      </w:r>
      <w:proofErr w:type="spellStart"/>
      <w:r w:rsidRPr="00040576">
        <w:rPr>
          <w:i/>
          <w:iCs/>
        </w:rPr>
        <w:t>Bubal</w:t>
      </w:r>
      <w:r>
        <w:rPr>
          <w:i/>
          <w:iCs/>
        </w:rPr>
        <w:t>u</w:t>
      </w:r>
      <w:r w:rsidRPr="00040576">
        <w:rPr>
          <w:i/>
          <w:iCs/>
        </w:rPr>
        <w:t>s</w:t>
      </w:r>
      <w:proofErr w:type="spellEnd"/>
      <w:r w:rsidRPr="00040576">
        <w:rPr>
          <w:i/>
          <w:iCs/>
        </w:rPr>
        <w:t xml:space="preserve"> </w:t>
      </w:r>
      <w:proofErr w:type="spellStart"/>
      <w:r w:rsidRPr="00040576">
        <w:rPr>
          <w:i/>
          <w:iCs/>
        </w:rPr>
        <w:t>bubalis</w:t>
      </w:r>
      <w:proofErr w:type="spellEnd"/>
      <w:r>
        <w:t xml:space="preserve">) présentent une sensibilité distincte se traduisant en particulier par une expression clinique plus sévère chez les bovins. En Afrique, les races de bovins autochtones semblent plus résistantes que les races importées. D’autres facteurs, par exemple l’âge ou les conditions d’élevage (température …) semblent pouvoir influer sur la sévérité de l’expression clinique. </w:t>
      </w:r>
      <w:r>
        <w:lastRenderedPageBreak/>
        <w:t xml:space="preserve">Enfin il existe de </w:t>
      </w:r>
      <w:r>
        <w:rPr>
          <w:b/>
        </w:rPr>
        <w:t>grandes variations individuelles</w:t>
      </w:r>
      <w:r>
        <w:t xml:space="preserve">, certains animaux semblant présenter une </w:t>
      </w:r>
      <w:r>
        <w:rPr>
          <w:b/>
        </w:rPr>
        <w:t>résistance naturelle importante</w:t>
      </w:r>
      <w:r>
        <w:t xml:space="preserve">. La </w:t>
      </w:r>
      <w:r>
        <w:rPr>
          <w:b/>
        </w:rPr>
        <w:t>mortalité</w:t>
      </w:r>
      <w:r>
        <w:t xml:space="preserve"> est </w:t>
      </w:r>
      <w:r>
        <w:rPr>
          <w:b/>
        </w:rPr>
        <w:t>faible</w:t>
      </w:r>
      <w:r>
        <w:t xml:space="preserve">, sauf dans le cas de maladies intercurrentes, ainsi que chez les animaux importés en Afrique et les races améliorées. </w:t>
      </w:r>
    </w:p>
    <w:p w14:paraId="1EB0A463" w14:textId="77777777" w:rsidR="00FB016D" w:rsidRDefault="00FB016D" w:rsidP="00FB016D">
      <w:r>
        <w:t xml:space="preserve">Les principales </w:t>
      </w:r>
      <w:r>
        <w:rPr>
          <w:b/>
        </w:rPr>
        <w:t>portes d’entrée du virus</w:t>
      </w:r>
      <w:r>
        <w:t xml:space="preserve"> sont la </w:t>
      </w:r>
      <w:r>
        <w:rPr>
          <w:b/>
        </w:rPr>
        <w:t>peau</w:t>
      </w:r>
      <w:r>
        <w:t xml:space="preserve"> ou les </w:t>
      </w:r>
      <w:r>
        <w:rPr>
          <w:b/>
        </w:rPr>
        <w:t>muqueuses digestives</w:t>
      </w:r>
      <w:r>
        <w:t xml:space="preserve">. </w:t>
      </w:r>
    </w:p>
    <w:p w14:paraId="799F3843" w14:textId="77777777" w:rsidR="00FB016D" w:rsidRDefault="00FB016D" w:rsidP="00FB016D">
      <w:pPr>
        <w:pStyle w:val="Titre3"/>
      </w:pPr>
      <w:r>
        <w:t>Voies de transmission</w:t>
      </w:r>
    </w:p>
    <w:p w14:paraId="6C3E5B6C" w14:textId="77777777" w:rsidR="00FB016D" w:rsidRDefault="00FB016D" w:rsidP="00FB016D">
      <w:r>
        <w:t xml:space="preserve">La </w:t>
      </w:r>
      <w:r w:rsidRPr="00040576">
        <w:rPr>
          <w:b/>
          <w:bCs/>
        </w:rPr>
        <w:t>transmission vectorielle</w:t>
      </w:r>
      <w:r>
        <w:t xml:space="preserve"> semble représenter le mode de transmission prépondérant dans l’épidémiologie de la maladie. Si le rôle des Stomoxes est établi, d’autres insectes hématophages pourraient aussi être impliqués (Moustiques, Culicoïdes …). La transmission directe et transmission indirecte (par ex, via l’abreuvoir) sont considérées comme possibles, même si ces modes de transmission semblent avoir une moindre importance dans l’épidémiologie de la maladie.</w:t>
      </w:r>
    </w:p>
    <w:p w14:paraId="2F462C75" w14:textId="77777777" w:rsidR="00FB016D" w:rsidRDefault="00FB016D" w:rsidP="00FB016D">
      <w:pPr>
        <w:pStyle w:val="Titre2"/>
      </w:pPr>
      <w:r>
        <w:t>SYMPTÔMES</w:t>
      </w:r>
    </w:p>
    <w:p w14:paraId="32243F79" w14:textId="77777777" w:rsidR="00FB016D" w:rsidRDefault="00FB016D" w:rsidP="00FB016D">
      <w:r>
        <w:t xml:space="preserve">La </w:t>
      </w:r>
      <w:r>
        <w:rPr>
          <w:b/>
        </w:rPr>
        <w:t>période d’incubation</w:t>
      </w:r>
      <w:r>
        <w:t xml:space="preserve"> varie de </w:t>
      </w:r>
      <w:r>
        <w:rPr>
          <w:b/>
        </w:rPr>
        <w:t>4 à 14 jours</w:t>
      </w:r>
      <w:r>
        <w:t xml:space="preserve"> mais elle peut atteindre un mois.</w:t>
      </w:r>
    </w:p>
    <w:p w14:paraId="33A3DCED" w14:textId="77777777" w:rsidR="00FB016D" w:rsidRDefault="00FB016D" w:rsidP="00FB016D">
      <w:pPr>
        <w:pStyle w:val="Titre3"/>
      </w:pPr>
      <w:r>
        <w:t>Phase d’éruption</w:t>
      </w:r>
    </w:p>
    <w:p w14:paraId="305F2D04" w14:textId="77777777" w:rsidR="00FB016D" w:rsidRDefault="00FB016D" w:rsidP="00FB016D">
      <w:r>
        <w:t xml:space="preserve">Classiquement, la maladie débute par une </w:t>
      </w:r>
      <w:r>
        <w:rPr>
          <w:b/>
        </w:rPr>
        <w:t>hyperthermie</w:t>
      </w:r>
      <w:r>
        <w:t xml:space="preserve"> qui peut atteindre 41°C et persister durant deux semaines. Habituellement, </w:t>
      </w:r>
      <w:r>
        <w:rPr>
          <w:b/>
        </w:rPr>
        <w:t>les symptômes généraux précèdent l’apparition des signes cutanés</w:t>
      </w:r>
      <w:r>
        <w:t xml:space="preserve"> : l’hyperthermie s’accompagne d’abattement, d’anorexie, de larmoiement, de jetage, de sialorrhée et d’une chute brutale de la lactation. </w:t>
      </w:r>
      <w:r>
        <w:lastRenderedPageBreak/>
        <w:t xml:space="preserve">Une </w:t>
      </w:r>
      <w:r>
        <w:rPr>
          <w:b/>
        </w:rPr>
        <w:t>adénite généralisée</w:t>
      </w:r>
      <w:r>
        <w:t xml:space="preserve"> est présente, les ganglions pouvant </w:t>
      </w:r>
      <w:r>
        <w:rPr>
          <w:b/>
        </w:rPr>
        <w:t>décupler</w:t>
      </w:r>
      <w:r>
        <w:t xml:space="preserve"> de volume.</w:t>
      </w:r>
    </w:p>
    <w:p w14:paraId="4E4EBFC7" w14:textId="77777777" w:rsidR="00FB016D" w:rsidRDefault="00FB016D" w:rsidP="00FB016D">
      <w:r>
        <w:t xml:space="preserve">Le premier signe cutané est l’apparition d’un </w:t>
      </w:r>
      <w:r>
        <w:rPr>
          <w:b/>
        </w:rPr>
        <w:t>hérissement des poils</w:t>
      </w:r>
      <w:r>
        <w:t xml:space="preserve">, suivi par l’apparition de </w:t>
      </w:r>
      <w:r>
        <w:rPr>
          <w:b/>
        </w:rPr>
        <w:t>nodules</w:t>
      </w:r>
      <w:r>
        <w:t xml:space="preserve"> durs, arrondis et indolores, de 0,5 à 6 cm de diamètre, </w:t>
      </w:r>
      <w:r>
        <w:rPr>
          <w:b/>
        </w:rPr>
        <w:t>mobilisables</w:t>
      </w:r>
      <w:r>
        <w:t xml:space="preserve"> par rapport aux plans sous-jacents. Ils siègent préférentiellement sur la tête (pourtour des yeux et du mufle), le cou, les membres (voir </w:t>
      </w:r>
      <w:r>
        <w:rPr>
          <w:highlight w:val="yellow"/>
        </w:rPr>
        <w:fldChar w:fldCharType="begin"/>
      </w:r>
      <w:r>
        <w:instrText xml:space="preserve"> REF _Ref181689484 \h </w:instrText>
      </w:r>
      <w:r>
        <w:rPr>
          <w:highlight w:val="yellow"/>
        </w:rPr>
      </w:r>
      <w:r>
        <w:rPr>
          <w:highlight w:val="yellow"/>
        </w:rPr>
        <w:fldChar w:fldCharType="separate"/>
      </w:r>
      <w:r>
        <w:t>Photo 1</w:t>
      </w:r>
      <w:r>
        <w:rPr>
          <w:highlight w:val="yellow"/>
        </w:rPr>
        <w:fldChar w:fldCharType="end"/>
      </w:r>
      <w:r>
        <w:t xml:space="preserve">) et la mamelle. </w:t>
      </w:r>
    </w:p>
    <w:p w14:paraId="3E202084" w14:textId="77777777" w:rsidR="00FB016D" w:rsidRDefault="00FB016D" w:rsidP="00FB016D">
      <w:r>
        <w:t xml:space="preserve">On peut aussi trouver des </w:t>
      </w:r>
      <w:r>
        <w:rPr>
          <w:b/>
        </w:rPr>
        <w:t>nodules</w:t>
      </w:r>
      <w:r>
        <w:t xml:space="preserve"> sur les </w:t>
      </w:r>
      <w:r>
        <w:rPr>
          <w:b/>
        </w:rPr>
        <w:t>muqueuses</w:t>
      </w:r>
      <w:r>
        <w:t xml:space="preserve"> : bouche, nez, yeux, vulve, prépuce, ainsi que sur la </w:t>
      </w:r>
      <w:r>
        <w:rPr>
          <w:b/>
        </w:rPr>
        <w:t>trachée</w:t>
      </w:r>
      <w:r>
        <w:t xml:space="preserve">. Dans ce cas, ils sont peu saillants et de couleur gris-jaunâtre. Une </w:t>
      </w:r>
      <w:r>
        <w:rPr>
          <w:b/>
        </w:rPr>
        <w:t>conjonctivite</w:t>
      </w:r>
      <w:r>
        <w:t xml:space="preserve"> peut s’installer, souvent associée à une </w:t>
      </w:r>
      <w:r>
        <w:rPr>
          <w:b/>
        </w:rPr>
        <w:t>kératite</w:t>
      </w:r>
      <w:r>
        <w:t xml:space="preserve">. Sur les muqueuses buccale et trachéale (voir </w:t>
      </w:r>
      <w:r>
        <w:fldChar w:fldCharType="begin"/>
      </w:r>
      <w:r>
        <w:instrText xml:space="preserve"> REF _Ref181689464 \h  \* MERGEFORMAT </w:instrText>
      </w:r>
      <w:r>
        <w:fldChar w:fldCharType="separate"/>
      </w:r>
      <w:r>
        <w:t>Photo 2</w:t>
      </w:r>
      <w:r>
        <w:fldChar w:fldCharType="end"/>
      </w:r>
      <w:r>
        <w:t xml:space="preserve"> </w:t>
      </w:r>
      <w:r>
        <w:fldChar w:fldCharType="begin"/>
      </w:r>
      <w:r>
        <w:instrText xml:space="preserve"> REF _Ref181689466 \h  \* MERGEFORMAT </w:instrText>
      </w:r>
      <w:r>
        <w:fldChar w:fldCharType="separate"/>
      </w:r>
      <w:r>
        <w:t>Photo 3</w:t>
      </w:r>
      <w:r>
        <w:fldChar w:fldCharType="end"/>
      </w:r>
      <w:r>
        <w:t xml:space="preserve"> ), ces nodules s’érodent, engendrant </w:t>
      </w:r>
      <w:r>
        <w:rPr>
          <w:b/>
        </w:rPr>
        <w:t>douleur</w:t>
      </w:r>
      <w:r>
        <w:t xml:space="preserve"> et </w:t>
      </w:r>
      <w:r>
        <w:rPr>
          <w:b/>
        </w:rPr>
        <w:t>ptyalisme</w:t>
      </w:r>
      <w:r>
        <w:t xml:space="preserve">, empêchant l’animal de s’alimenter. Lors d’atteinte de la </w:t>
      </w:r>
      <w:r>
        <w:rPr>
          <w:b/>
        </w:rPr>
        <w:t>mamelle</w:t>
      </w:r>
      <w:r>
        <w:t xml:space="preserve">, on observe un </w:t>
      </w:r>
      <w:r>
        <w:rPr>
          <w:b/>
        </w:rPr>
        <w:t>œdème prononcé</w:t>
      </w:r>
      <w:r>
        <w:t xml:space="preserve"> et l’apparition de </w:t>
      </w:r>
      <w:r>
        <w:rPr>
          <w:b/>
        </w:rPr>
        <w:t>petits nodules</w:t>
      </w:r>
      <w:r>
        <w:t xml:space="preserve"> puis d’</w:t>
      </w:r>
      <w:r>
        <w:rPr>
          <w:b/>
        </w:rPr>
        <w:t>ulcères</w:t>
      </w:r>
      <w:r>
        <w:t xml:space="preserve">, tant sur les trayons que sur la paroi de la mamelle elle-même (voir </w:t>
      </w:r>
      <w:r>
        <w:fldChar w:fldCharType="begin"/>
      </w:r>
      <w:r>
        <w:instrText xml:space="preserve"> REF _Ref181689441 \h  \* MERGEFORMAT </w:instrText>
      </w:r>
      <w:r>
        <w:fldChar w:fldCharType="separate"/>
      </w:r>
      <w:r>
        <w:t>Photo 4</w:t>
      </w:r>
      <w:r>
        <w:fldChar w:fldCharType="end"/>
      </w:r>
      <w:r>
        <w:t xml:space="preserve">). Des </w:t>
      </w:r>
      <w:r>
        <w:rPr>
          <w:b/>
        </w:rPr>
        <w:t>œdèmes sous-cutanés</w:t>
      </w:r>
      <w:r>
        <w:t xml:space="preserve"> très étendus sont fréquents sur les lombes, le fanon et les membres, faisant parfois éclater la peau (voir </w:t>
      </w:r>
      <w:r>
        <w:rPr>
          <w:highlight w:val="yellow"/>
        </w:rPr>
        <w:fldChar w:fldCharType="begin"/>
      </w:r>
      <w:r>
        <w:rPr>
          <w:highlight w:val="yellow"/>
        </w:rPr>
        <w:instrText xml:space="preserve"> REF _Ref181689426 \h </w:instrText>
      </w:r>
      <w:r>
        <w:rPr>
          <w:highlight w:val="yellow"/>
        </w:rPr>
      </w:r>
      <w:r>
        <w:rPr>
          <w:highlight w:val="yellow"/>
        </w:rPr>
        <w:fldChar w:fldCharType="separate"/>
      </w:r>
      <w:r>
        <w:t>Photo 5</w:t>
      </w:r>
      <w:r>
        <w:rPr>
          <w:highlight w:val="yellow"/>
        </w:rPr>
        <w:fldChar w:fldCharType="end"/>
      </w:r>
      <w:r>
        <w:t>).</w:t>
      </w:r>
    </w:p>
    <w:p w14:paraId="718C3F04" w14:textId="77777777" w:rsidR="00FB016D" w:rsidRDefault="00FB016D" w:rsidP="00FB016D">
      <w:pPr>
        <w:jc w:val="center"/>
      </w:pPr>
      <w:r>
        <w:rPr>
          <w:noProof/>
          <w:lang w:eastAsia="fr-FR"/>
        </w:rPr>
        <w:lastRenderedPageBreak/>
        <w:drawing>
          <wp:inline distT="0" distB="0" distL="0" distR="0" wp14:anchorId="4BAFE0BA" wp14:editId="0B89C733">
            <wp:extent cx="1378790" cy="2095759"/>
            <wp:effectExtent l="0" t="0" r="0" b="0"/>
            <wp:docPr id="1417"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pic:cNvPicPr>
                  </pic:nvPicPr>
                  <pic:blipFill>
                    <a:blip r:embed="rId11"/>
                    <a:stretch/>
                  </pic:blipFill>
                  <pic:spPr bwMode="auto">
                    <a:xfrm>
                      <a:off x="0" y="0"/>
                      <a:ext cx="1391596" cy="2115224"/>
                    </a:xfrm>
                    <a:prstGeom prst="rect">
                      <a:avLst/>
                    </a:prstGeom>
                    <a:noFill/>
                  </pic:spPr>
                </pic:pic>
              </a:graphicData>
            </a:graphic>
          </wp:inline>
        </w:drawing>
      </w:r>
    </w:p>
    <w:p w14:paraId="2C5A7F34" w14:textId="77777777" w:rsidR="00FB016D" w:rsidRDefault="00FB016D" w:rsidP="00FB016D">
      <w:pPr>
        <w:pStyle w:val="Lgende"/>
      </w:pPr>
      <w:bookmarkStart w:id="6" w:name="_Ref181689484"/>
      <w:r>
        <w:t xml:space="preserve">Photo </w:t>
      </w:r>
      <w:fldSimple w:instr=" SEQ Photo \* ARABIC ">
        <w:r>
          <w:t>1</w:t>
        </w:r>
      </w:fldSimple>
      <w:bookmarkEnd w:id="6"/>
      <w:r>
        <w:t xml:space="preserve"> : Lésions nodulaires sur un bovin malade (cliché J. M. </w:t>
      </w:r>
      <w:proofErr w:type="spellStart"/>
      <w:r>
        <w:t>Gourreau</w:t>
      </w:r>
      <w:proofErr w:type="spellEnd"/>
      <w:r>
        <w:t>)</w:t>
      </w:r>
    </w:p>
    <w:p w14:paraId="26CEC662" w14:textId="77777777" w:rsidR="00FB016D" w:rsidRDefault="00FB016D" w:rsidP="00FB016D">
      <w:pPr>
        <w:jc w:val="center"/>
      </w:pPr>
      <w:r>
        <w:rPr>
          <w:noProof/>
          <w:lang w:eastAsia="fr-FR"/>
        </w:rPr>
        <w:drawing>
          <wp:inline distT="0" distB="0" distL="0" distR="0" wp14:anchorId="6C920342" wp14:editId="15895E45">
            <wp:extent cx="2435112" cy="1492710"/>
            <wp:effectExtent l="0" t="0" r="3810" b="0"/>
            <wp:docPr id="3"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pic:cNvPicPr>
                  </pic:nvPicPr>
                  <pic:blipFill>
                    <a:blip r:embed="rId12"/>
                    <a:stretch/>
                  </pic:blipFill>
                  <pic:spPr bwMode="auto">
                    <a:xfrm>
                      <a:off x="0" y="0"/>
                      <a:ext cx="2452659" cy="1503466"/>
                    </a:xfrm>
                    <a:prstGeom prst="rect">
                      <a:avLst/>
                    </a:prstGeom>
                    <a:noFill/>
                  </pic:spPr>
                </pic:pic>
              </a:graphicData>
            </a:graphic>
          </wp:inline>
        </w:drawing>
      </w:r>
    </w:p>
    <w:p w14:paraId="659D64EE" w14:textId="77777777" w:rsidR="00FB016D" w:rsidRDefault="00FB016D" w:rsidP="00FB016D">
      <w:pPr>
        <w:pStyle w:val="Lgende"/>
      </w:pPr>
      <w:bookmarkStart w:id="7" w:name="_Ref181689464"/>
      <w:r>
        <w:t xml:space="preserve">Photo </w:t>
      </w:r>
      <w:fldSimple w:instr=" SEQ Photo \* ARABIC ">
        <w:r>
          <w:t>2</w:t>
        </w:r>
      </w:fldSimple>
      <w:bookmarkEnd w:id="7"/>
      <w:r>
        <w:t xml:space="preserve"> : Ulcères sur la muqueuse trachéale (cliché J. M. </w:t>
      </w:r>
      <w:proofErr w:type="spellStart"/>
      <w:r>
        <w:t>Gourreau</w:t>
      </w:r>
      <w:proofErr w:type="spellEnd"/>
      <w:r>
        <w:t>)</w:t>
      </w:r>
    </w:p>
    <w:p w14:paraId="4C04969A" w14:textId="77777777" w:rsidR="00FB016D" w:rsidRDefault="00FB016D" w:rsidP="00FB016D">
      <w:pPr>
        <w:jc w:val="center"/>
      </w:pPr>
      <w:r>
        <w:rPr>
          <w:noProof/>
          <w:lang w:eastAsia="fr-FR"/>
        </w:rPr>
        <w:drawing>
          <wp:inline distT="0" distB="0" distL="0" distR="0" wp14:anchorId="1ED03434" wp14:editId="23FFE84A">
            <wp:extent cx="2346736" cy="1647987"/>
            <wp:effectExtent l="0" t="0" r="0" b="0"/>
            <wp:docPr id="4"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pic:cNvPicPr>
                  </pic:nvPicPr>
                  <pic:blipFill>
                    <a:blip r:embed="rId13"/>
                    <a:stretch/>
                  </pic:blipFill>
                  <pic:spPr bwMode="auto">
                    <a:xfrm>
                      <a:off x="0" y="0"/>
                      <a:ext cx="2373374" cy="1666693"/>
                    </a:xfrm>
                    <a:prstGeom prst="rect">
                      <a:avLst/>
                    </a:prstGeom>
                    <a:noFill/>
                  </pic:spPr>
                </pic:pic>
              </a:graphicData>
            </a:graphic>
          </wp:inline>
        </w:drawing>
      </w:r>
    </w:p>
    <w:p w14:paraId="671276B9" w14:textId="77777777" w:rsidR="00FB016D" w:rsidRDefault="00FB016D" w:rsidP="00FB016D">
      <w:pPr>
        <w:pStyle w:val="Lgende"/>
      </w:pPr>
      <w:bookmarkStart w:id="8" w:name="_Ref181689466"/>
      <w:r>
        <w:t xml:space="preserve">Photo </w:t>
      </w:r>
      <w:fldSimple w:instr=" SEQ Photo \* ARABIC ">
        <w:r>
          <w:t>3</w:t>
        </w:r>
      </w:fldSimple>
      <w:bookmarkEnd w:id="8"/>
      <w:r>
        <w:t xml:space="preserve"> : Ulcère superficiel du palais (cliché J. M. </w:t>
      </w:r>
      <w:proofErr w:type="spellStart"/>
      <w:r>
        <w:t>Gourreau</w:t>
      </w:r>
      <w:proofErr w:type="spellEnd"/>
      <w:r>
        <w:t>)</w:t>
      </w:r>
    </w:p>
    <w:p w14:paraId="4A617CCF" w14:textId="77777777" w:rsidR="00FB016D" w:rsidRDefault="00FB016D" w:rsidP="00FB016D">
      <w:pPr>
        <w:jc w:val="center"/>
      </w:pPr>
      <w:r>
        <w:rPr>
          <w:noProof/>
          <w:lang w:eastAsia="fr-FR"/>
        </w:rPr>
        <w:lastRenderedPageBreak/>
        <w:drawing>
          <wp:inline distT="0" distB="0" distL="0" distR="0" wp14:anchorId="3281C646" wp14:editId="40BF2FE0">
            <wp:extent cx="2320175" cy="1596750"/>
            <wp:effectExtent l="0" t="0" r="4445" b="3810"/>
            <wp:docPr id="5"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pic:cNvPicPr>
                  </pic:nvPicPr>
                  <pic:blipFill>
                    <a:blip r:embed="rId14"/>
                    <a:stretch/>
                  </pic:blipFill>
                  <pic:spPr bwMode="auto">
                    <a:xfrm>
                      <a:off x="0" y="0"/>
                      <a:ext cx="2344441" cy="1613450"/>
                    </a:xfrm>
                    <a:prstGeom prst="rect">
                      <a:avLst/>
                    </a:prstGeom>
                    <a:noFill/>
                  </pic:spPr>
                </pic:pic>
              </a:graphicData>
            </a:graphic>
          </wp:inline>
        </w:drawing>
      </w:r>
    </w:p>
    <w:p w14:paraId="18FDF6BB" w14:textId="77777777" w:rsidR="00FB016D" w:rsidRDefault="00FB016D" w:rsidP="00FB016D">
      <w:pPr>
        <w:pStyle w:val="Lgende"/>
      </w:pPr>
      <w:bookmarkStart w:id="9" w:name="_Ref181689441"/>
      <w:r>
        <w:t xml:space="preserve">Photo </w:t>
      </w:r>
      <w:fldSimple w:instr=" SEQ Photo \* ARABIC ">
        <w:r>
          <w:t>4</w:t>
        </w:r>
      </w:fldSimple>
      <w:bookmarkEnd w:id="9"/>
      <w:r>
        <w:t xml:space="preserve"> : Lésions ulcératives et confluentes sur la mamelle (cliché J. M. </w:t>
      </w:r>
      <w:proofErr w:type="spellStart"/>
      <w:r>
        <w:t>Gourreau</w:t>
      </w:r>
      <w:proofErr w:type="spellEnd"/>
      <w:r>
        <w:t>)</w:t>
      </w:r>
    </w:p>
    <w:p w14:paraId="61EF1C21" w14:textId="77777777" w:rsidR="00FB016D" w:rsidRDefault="00FB016D" w:rsidP="00FB016D">
      <w:pPr>
        <w:jc w:val="center"/>
      </w:pPr>
      <w:r>
        <w:rPr>
          <w:noProof/>
          <w:lang w:eastAsia="fr-FR"/>
        </w:rPr>
        <w:drawing>
          <wp:inline distT="0" distB="0" distL="0" distR="0" wp14:anchorId="1B2C52A1" wp14:editId="51C4D944">
            <wp:extent cx="2178865" cy="1858806"/>
            <wp:effectExtent l="0" t="0" r="0" b="8255"/>
            <wp:docPr id="6"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pic:cNvPicPr>
                  </pic:nvPicPr>
                  <pic:blipFill>
                    <a:blip r:embed="rId15"/>
                    <a:stretch/>
                  </pic:blipFill>
                  <pic:spPr bwMode="auto">
                    <a:xfrm>
                      <a:off x="0" y="0"/>
                      <a:ext cx="2182354" cy="1861782"/>
                    </a:xfrm>
                    <a:prstGeom prst="rect">
                      <a:avLst/>
                    </a:prstGeom>
                    <a:noFill/>
                  </pic:spPr>
                </pic:pic>
              </a:graphicData>
            </a:graphic>
          </wp:inline>
        </w:drawing>
      </w:r>
    </w:p>
    <w:p w14:paraId="2D1700AC" w14:textId="77777777" w:rsidR="00FB016D" w:rsidRDefault="00FB016D" w:rsidP="00FB016D">
      <w:pPr>
        <w:pStyle w:val="Lgende"/>
      </w:pPr>
      <w:bookmarkStart w:id="10" w:name="_Ref181689426"/>
      <w:r>
        <w:t xml:space="preserve">Photo </w:t>
      </w:r>
      <w:fldSimple w:instr=" SEQ Photo \* ARABIC ">
        <w:r>
          <w:t>5</w:t>
        </w:r>
      </w:fldSimple>
      <w:bookmarkEnd w:id="10"/>
      <w:r>
        <w:t xml:space="preserve"> : Volumineux œdème du membre ayant entraîné la rupture de la peau (cliché J. M. </w:t>
      </w:r>
      <w:proofErr w:type="spellStart"/>
      <w:r>
        <w:t>Gourreau</w:t>
      </w:r>
      <w:proofErr w:type="spellEnd"/>
      <w:r>
        <w:t>)</w:t>
      </w:r>
    </w:p>
    <w:p w14:paraId="6681826D" w14:textId="77777777" w:rsidR="00FB016D" w:rsidRDefault="00FB016D" w:rsidP="00FB016D">
      <w:pPr>
        <w:pStyle w:val="Titre3"/>
      </w:pPr>
      <w:r>
        <w:t>Phase de nécrose</w:t>
      </w:r>
    </w:p>
    <w:p w14:paraId="1175756E" w14:textId="77777777" w:rsidR="00FB016D" w:rsidRDefault="00FB016D" w:rsidP="00FB016D">
      <w:r>
        <w:t xml:space="preserve">Lorsque les nodules ne s’indurent pas, ils se nécrosent et un </w:t>
      </w:r>
      <w:r>
        <w:rPr>
          <w:b/>
        </w:rPr>
        <w:t>sillon disjoncteur</w:t>
      </w:r>
      <w:r>
        <w:t xml:space="preserve"> se forme autour de la lésion. Les nodules finissent par se dessécher et se détacher du tissu sous-jacent en deux à cinq semaines, laissant une </w:t>
      </w:r>
      <w:r>
        <w:rPr>
          <w:b/>
        </w:rPr>
        <w:t>plaie en cône à l’emporte-pièce</w:t>
      </w:r>
      <w:r>
        <w:t xml:space="preserve"> (voir </w:t>
      </w:r>
      <w:r>
        <w:rPr>
          <w:highlight w:val="yellow"/>
        </w:rPr>
        <w:fldChar w:fldCharType="begin"/>
      </w:r>
      <w:r>
        <w:rPr>
          <w:highlight w:val="yellow"/>
        </w:rPr>
        <w:instrText xml:space="preserve"> REF _Ref181689381 \h </w:instrText>
      </w:r>
      <w:r>
        <w:rPr>
          <w:highlight w:val="yellow"/>
        </w:rPr>
      </w:r>
      <w:r>
        <w:rPr>
          <w:highlight w:val="yellow"/>
        </w:rPr>
        <w:fldChar w:fldCharType="separate"/>
      </w:r>
      <w:r>
        <w:t>Photo 6</w:t>
      </w:r>
      <w:r>
        <w:rPr>
          <w:highlight w:val="yellow"/>
        </w:rPr>
        <w:fldChar w:fldCharType="end"/>
      </w:r>
      <w:r>
        <w:t>).</w:t>
      </w:r>
    </w:p>
    <w:p w14:paraId="6226AAAA" w14:textId="77777777" w:rsidR="00FB016D" w:rsidRDefault="00FB016D" w:rsidP="00FB016D"/>
    <w:p w14:paraId="006E3452" w14:textId="77777777" w:rsidR="00FB016D" w:rsidRDefault="00FB016D" w:rsidP="00FB016D">
      <w:pPr>
        <w:jc w:val="center"/>
      </w:pPr>
      <w:r>
        <w:rPr>
          <w:noProof/>
          <w:lang w:eastAsia="fr-FR"/>
        </w:rPr>
        <w:lastRenderedPageBreak/>
        <w:drawing>
          <wp:inline distT="0" distB="0" distL="0" distR="0" wp14:anchorId="2BB0B91A" wp14:editId="48183549">
            <wp:extent cx="2610713" cy="1787051"/>
            <wp:effectExtent l="0" t="0" r="0" b="3810"/>
            <wp:docPr id="7"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pic:cNvPicPr>
                  </pic:nvPicPr>
                  <pic:blipFill>
                    <a:blip r:embed="rId16"/>
                    <a:stretch/>
                  </pic:blipFill>
                  <pic:spPr bwMode="auto">
                    <a:xfrm>
                      <a:off x="0" y="0"/>
                      <a:ext cx="2634059" cy="1803031"/>
                    </a:xfrm>
                    <a:prstGeom prst="rect">
                      <a:avLst/>
                    </a:prstGeom>
                    <a:noFill/>
                  </pic:spPr>
                </pic:pic>
              </a:graphicData>
            </a:graphic>
          </wp:inline>
        </w:drawing>
      </w:r>
    </w:p>
    <w:p w14:paraId="1ED9EB3C" w14:textId="77777777" w:rsidR="00FB016D" w:rsidRDefault="00FB016D" w:rsidP="00FB016D">
      <w:pPr>
        <w:pStyle w:val="Lgende"/>
      </w:pPr>
      <w:bookmarkStart w:id="11" w:name="_Ref181689381"/>
      <w:bookmarkStart w:id="12" w:name="_Ref181689375"/>
      <w:r>
        <w:t xml:space="preserve">Photo </w:t>
      </w:r>
      <w:fldSimple w:instr=" SEQ Photo \* ARABIC ">
        <w:r>
          <w:t>6</w:t>
        </w:r>
      </w:fldSimple>
      <w:bookmarkEnd w:id="11"/>
      <w:r>
        <w:t xml:space="preserve"> : Lésions cutanées de deux mois en voie de cicatrisation (cliché J. M. </w:t>
      </w:r>
      <w:proofErr w:type="spellStart"/>
      <w:r>
        <w:t>Gourreau</w:t>
      </w:r>
      <w:proofErr w:type="spellEnd"/>
      <w:r>
        <w:t>)</w:t>
      </w:r>
      <w:bookmarkEnd w:id="12"/>
    </w:p>
    <w:p w14:paraId="29220E2D" w14:textId="77777777" w:rsidR="00FB016D" w:rsidRDefault="00FB016D" w:rsidP="00FB016D">
      <w:r>
        <w:t xml:space="preserve">Dans les formes graves, l’état général s’altère rapidement et l’on peut observer une </w:t>
      </w:r>
      <w:r>
        <w:rPr>
          <w:b/>
        </w:rPr>
        <w:t>pneumonie</w:t>
      </w:r>
      <w:r>
        <w:t xml:space="preserve">, un </w:t>
      </w:r>
      <w:r>
        <w:rPr>
          <w:b/>
        </w:rPr>
        <w:t>arrêt de la rumination</w:t>
      </w:r>
      <w:r>
        <w:t xml:space="preserve"> et une </w:t>
      </w:r>
      <w:r>
        <w:rPr>
          <w:b/>
        </w:rPr>
        <w:t>météorisation</w:t>
      </w:r>
      <w:r>
        <w:t xml:space="preserve"> si des nodules affectent les piliers du rumen. Ces atteintes digestives et respiratoires sont </w:t>
      </w:r>
      <w:r>
        <w:rPr>
          <w:b/>
        </w:rPr>
        <w:t>plus fréquentes chez les jeunes</w:t>
      </w:r>
      <w:r>
        <w:t xml:space="preserve">. Leur évolution est très longue et les </w:t>
      </w:r>
      <w:r>
        <w:rPr>
          <w:b/>
        </w:rPr>
        <w:t>séquelles nombreuses</w:t>
      </w:r>
      <w:r>
        <w:t xml:space="preserve"> (avortements, stérilité, tarissement de la sécrétion lactée, amaigrissement). La </w:t>
      </w:r>
      <w:r>
        <w:rPr>
          <w:b/>
        </w:rPr>
        <w:t>mort</w:t>
      </w:r>
      <w:r>
        <w:t xml:space="preserve"> n’est pas rare : elle peut être due à une </w:t>
      </w:r>
      <w:r>
        <w:rPr>
          <w:b/>
        </w:rPr>
        <w:t>toxémie</w:t>
      </w:r>
      <w:r>
        <w:t xml:space="preserve"> ou à la </w:t>
      </w:r>
      <w:r>
        <w:rPr>
          <w:b/>
        </w:rPr>
        <w:t>dénutrition</w:t>
      </w:r>
      <w:r>
        <w:t xml:space="preserve">. </w:t>
      </w:r>
    </w:p>
    <w:p w14:paraId="1A86AE3A" w14:textId="77777777" w:rsidR="00FB016D" w:rsidRDefault="00FB016D" w:rsidP="00FB016D">
      <w:r>
        <w:t xml:space="preserve">Des formes </w:t>
      </w:r>
      <w:r>
        <w:rPr>
          <w:b/>
        </w:rPr>
        <w:t>bénignes</w:t>
      </w:r>
      <w:r>
        <w:t xml:space="preserve">, voire </w:t>
      </w:r>
      <w:r>
        <w:rPr>
          <w:b/>
        </w:rPr>
        <w:t>inapparentes</w:t>
      </w:r>
      <w:r>
        <w:t xml:space="preserve">, existent. Les symptômes généraux sont alors frustes ou absents, les nodules cutanés, quand ils existent, sont de petite taille et guérissent rapidement. En revanche, la </w:t>
      </w:r>
      <w:r>
        <w:rPr>
          <w:b/>
        </w:rPr>
        <w:t>réaction fébrile</w:t>
      </w:r>
      <w:r>
        <w:t xml:space="preserve"> et l’</w:t>
      </w:r>
      <w:r>
        <w:rPr>
          <w:b/>
        </w:rPr>
        <w:t>hyperthermie</w:t>
      </w:r>
      <w:r>
        <w:t xml:space="preserve"> sont constantes. Ces formes pourraient jouer un rôle dans le </w:t>
      </w:r>
      <w:r>
        <w:rPr>
          <w:b/>
        </w:rPr>
        <w:t>maintien de l’infection</w:t>
      </w:r>
      <w:r>
        <w:t xml:space="preserve"> car le virus a été retrouvé dans la salive et le sperme d’animaux </w:t>
      </w:r>
      <w:r>
        <w:rPr>
          <w:b/>
        </w:rPr>
        <w:t>apparemment sains</w:t>
      </w:r>
      <w:r>
        <w:t>.</w:t>
      </w:r>
    </w:p>
    <w:p w14:paraId="3BD6A90C" w14:textId="77777777" w:rsidR="00FB016D" w:rsidRDefault="00FB016D" w:rsidP="00FB016D">
      <w:pPr>
        <w:pStyle w:val="Titre2"/>
      </w:pPr>
      <w:r>
        <w:lastRenderedPageBreak/>
        <w:t>LÉSIONS</w:t>
      </w:r>
    </w:p>
    <w:p w14:paraId="351FF582" w14:textId="77777777" w:rsidR="00FB016D" w:rsidRDefault="00FB016D" w:rsidP="00FB016D">
      <w:r>
        <w:t xml:space="preserve">Les lésions les plus caractéristiques sont les </w:t>
      </w:r>
      <w:r>
        <w:rPr>
          <w:b/>
        </w:rPr>
        <w:t>nodules</w:t>
      </w:r>
      <w:r>
        <w:t xml:space="preserve">, masses de tissu fibreux blanc-grisâtre, ferme, intéressant toutes les couches de la peau. Leur centre peut être nécrotique. Les nodules des </w:t>
      </w:r>
      <w:r>
        <w:rPr>
          <w:b/>
        </w:rPr>
        <w:t>muqueuses</w:t>
      </w:r>
      <w:r>
        <w:t xml:space="preserve"> apparaissent sous forme de </w:t>
      </w:r>
      <w:r>
        <w:rPr>
          <w:b/>
        </w:rPr>
        <w:t>plaques</w:t>
      </w:r>
      <w:r>
        <w:t xml:space="preserve"> arrondies, surélevées, enchâssées dans la muqueuse. Suite à la </w:t>
      </w:r>
      <w:r>
        <w:rPr>
          <w:b/>
        </w:rPr>
        <w:t>thrombose</w:t>
      </w:r>
      <w:r>
        <w:t xml:space="preserve"> des vaisseaux, ces nodules se nécrosent pour faire place à des </w:t>
      </w:r>
      <w:r>
        <w:rPr>
          <w:b/>
        </w:rPr>
        <w:t>ulcères à l’emporte-pièce</w:t>
      </w:r>
      <w:r>
        <w:t xml:space="preserve">. Ces lésions se retrouvent également dans la trachée, les poumons et, à un moindre degré, la caillette, le rumen et l’utérus. </w:t>
      </w:r>
      <w:r>
        <w:rPr>
          <w:b/>
        </w:rPr>
        <w:t xml:space="preserve">Les ganglions sont hypertrophiés </w:t>
      </w:r>
      <w:r>
        <w:t>et, parfois,</w:t>
      </w:r>
      <w:r>
        <w:rPr>
          <w:b/>
        </w:rPr>
        <w:t xml:space="preserve"> nécrosés.</w:t>
      </w:r>
    </w:p>
    <w:p w14:paraId="261A4A9A" w14:textId="77777777" w:rsidR="00FB016D" w:rsidRDefault="00FB016D" w:rsidP="00FB016D">
      <w:pPr>
        <w:pStyle w:val="Titre2"/>
      </w:pPr>
      <w:r>
        <w:t>DIAGNOSTIC</w:t>
      </w:r>
    </w:p>
    <w:p w14:paraId="59ACCFA2" w14:textId="77777777" w:rsidR="00FB016D" w:rsidRDefault="00FB016D" w:rsidP="00FB016D">
      <w:pPr>
        <w:pStyle w:val="Titre3"/>
      </w:pPr>
      <w:bookmarkStart w:id="13" w:name="_Hlk191581618"/>
      <w:r>
        <w:t>Diagnostic clinique et épidémiologique</w:t>
      </w:r>
      <w:bookmarkEnd w:id="13"/>
    </w:p>
    <w:p w14:paraId="55A663F3" w14:textId="77777777" w:rsidR="00FB016D" w:rsidRDefault="00FB016D" w:rsidP="00FB016D">
      <w:r>
        <w:t xml:space="preserve">Il est aisé en zone d’enzootie, </w:t>
      </w:r>
      <w:r>
        <w:rPr>
          <w:b/>
        </w:rPr>
        <w:t>l’éruption de nodules cutanés entourés d’un sillon disjoncteur étant caractéristique</w:t>
      </w:r>
      <w:r>
        <w:t xml:space="preserve">. Pour les races à poils longs ou en cas de forme clinique modérée, un examen du corps par palpation peut être plus adapté que le seul examen visuel. On doit aussi prendre en compte la </w:t>
      </w:r>
      <w:r>
        <w:rPr>
          <w:b/>
        </w:rPr>
        <w:t>morbidité</w:t>
      </w:r>
      <w:r>
        <w:t xml:space="preserve">, inférieure à 50 % en zone d’enzootie mais souvent </w:t>
      </w:r>
      <w:r>
        <w:rPr>
          <w:b/>
        </w:rPr>
        <w:t>supérieure à 90 %</w:t>
      </w:r>
      <w:r>
        <w:t xml:space="preserve"> dans un pays où la maladie n’existait pas.</w:t>
      </w:r>
    </w:p>
    <w:p w14:paraId="6B5542E8" w14:textId="77777777" w:rsidR="00FB016D" w:rsidRDefault="00FB016D" w:rsidP="00FB016D">
      <w:pPr>
        <w:pStyle w:val="Titre3"/>
      </w:pPr>
      <w:r>
        <w:t>Diagnostic différentiel</w:t>
      </w:r>
    </w:p>
    <w:p w14:paraId="40F4B21F" w14:textId="77777777" w:rsidR="00FB016D" w:rsidRDefault="00FB016D" w:rsidP="00FB016D">
      <w:r>
        <w:t xml:space="preserve">L’affection qui ressemble le plus à la dermatose nodulaire contagieuse est la </w:t>
      </w:r>
      <w:r>
        <w:rPr>
          <w:b/>
        </w:rPr>
        <w:t>pseudo-dermatose nodulaire</w:t>
      </w:r>
      <w:r>
        <w:t xml:space="preserve"> ou maladie d’</w:t>
      </w:r>
      <w:proofErr w:type="spellStart"/>
      <w:r>
        <w:t>Allerton</w:t>
      </w:r>
      <w:proofErr w:type="spellEnd"/>
      <w:r>
        <w:t xml:space="preserve">, due à un </w:t>
      </w:r>
      <w:proofErr w:type="spellStart"/>
      <w:r>
        <w:t>herpesvirus</w:t>
      </w:r>
      <w:proofErr w:type="spellEnd"/>
      <w:r>
        <w:t>, le BHV2. Dans cette maladie, l’état général est peu atteint et les lésions consistent en des ulcères superficiels avec une guérison en 2-3 semaines.</w:t>
      </w:r>
    </w:p>
    <w:p w14:paraId="06622236" w14:textId="77777777" w:rsidR="00FB016D" w:rsidRDefault="00FB016D" w:rsidP="00FB016D">
      <w:r>
        <w:lastRenderedPageBreak/>
        <w:t>Les autres maladies avec lesquelles on peut confondre la dermatose nodulaire contagieuse sous nos latitudes sont :</w:t>
      </w:r>
    </w:p>
    <w:p w14:paraId="7DC72803" w14:textId="77777777" w:rsidR="00FB016D" w:rsidRPr="00565C0C" w:rsidRDefault="00FB016D" w:rsidP="00FB016D">
      <w:pPr>
        <w:pStyle w:val="Paragraphedeliste"/>
        <w:numPr>
          <w:ilvl w:val="0"/>
          <w:numId w:val="23"/>
        </w:numPr>
        <w:spacing w:after="0"/>
        <w:ind w:right="0"/>
        <w:rPr>
          <w:w w:val="80"/>
        </w:rPr>
      </w:pPr>
      <w:r w:rsidRPr="00565C0C">
        <w:rPr>
          <w:w w:val="80"/>
        </w:rPr>
        <w:t xml:space="preserve">La </w:t>
      </w:r>
      <w:r w:rsidRPr="00565C0C">
        <w:rPr>
          <w:b/>
          <w:w w:val="80"/>
        </w:rPr>
        <w:t>leucose cutanée</w:t>
      </w:r>
      <w:r w:rsidRPr="00565C0C">
        <w:rPr>
          <w:w w:val="80"/>
        </w:rPr>
        <w:t xml:space="preserve"> qui n’est pas contagieuse, nodules de taille très variable qui peuvent s’ulcérer</w:t>
      </w:r>
    </w:p>
    <w:p w14:paraId="5C56F658" w14:textId="77777777" w:rsidR="00FB016D" w:rsidRPr="00565C0C" w:rsidRDefault="00FB016D" w:rsidP="00FB016D">
      <w:pPr>
        <w:pStyle w:val="Paragraphedeliste"/>
        <w:numPr>
          <w:ilvl w:val="0"/>
          <w:numId w:val="23"/>
        </w:numPr>
        <w:spacing w:after="0"/>
        <w:ind w:right="0"/>
        <w:rPr>
          <w:w w:val="80"/>
        </w:rPr>
      </w:pPr>
      <w:r w:rsidRPr="00565C0C">
        <w:rPr>
          <w:w w:val="80"/>
        </w:rPr>
        <w:t>La tuberculose cutanée, maladie rare dont les nodules sont situés sur le trajet des vaisseaux lymphatiques,</w:t>
      </w:r>
    </w:p>
    <w:p w14:paraId="0F358688" w14:textId="77777777" w:rsidR="00FB016D" w:rsidRPr="00565C0C" w:rsidRDefault="00FB016D" w:rsidP="00FB016D">
      <w:pPr>
        <w:pStyle w:val="Paragraphedeliste"/>
        <w:numPr>
          <w:ilvl w:val="0"/>
          <w:numId w:val="23"/>
        </w:numPr>
        <w:spacing w:after="0"/>
        <w:ind w:right="0"/>
        <w:rPr>
          <w:w w:val="80"/>
        </w:rPr>
      </w:pPr>
      <w:r w:rsidRPr="00565C0C">
        <w:rPr>
          <w:w w:val="80"/>
        </w:rPr>
        <w:t xml:space="preserve">Le </w:t>
      </w:r>
      <w:r w:rsidRPr="00565C0C">
        <w:rPr>
          <w:b/>
          <w:w w:val="80"/>
        </w:rPr>
        <w:t>varron</w:t>
      </w:r>
      <w:r w:rsidRPr="00565C0C">
        <w:rPr>
          <w:w w:val="80"/>
        </w:rPr>
        <w:t xml:space="preserve"> (hypodermose) dont les nodules, fluctuants, sont essentiellement localisés sur le dos,</w:t>
      </w:r>
    </w:p>
    <w:p w14:paraId="1376CCDA" w14:textId="77777777" w:rsidR="00FB016D" w:rsidRPr="00565C0C" w:rsidRDefault="00FB016D" w:rsidP="00FB016D">
      <w:pPr>
        <w:pStyle w:val="Paragraphedeliste"/>
        <w:numPr>
          <w:ilvl w:val="0"/>
          <w:numId w:val="23"/>
        </w:numPr>
        <w:spacing w:after="0"/>
        <w:ind w:right="0"/>
        <w:rPr>
          <w:w w:val="80"/>
        </w:rPr>
      </w:pPr>
      <w:r w:rsidRPr="00565C0C">
        <w:rPr>
          <w:w w:val="80"/>
        </w:rPr>
        <w:t xml:space="preserve">La </w:t>
      </w:r>
      <w:r w:rsidRPr="00565C0C">
        <w:rPr>
          <w:b/>
          <w:w w:val="80"/>
        </w:rPr>
        <w:t>démodécie</w:t>
      </w:r>
      <w:r w:rsidRPr="00565C0C">
        <w:rPr>
          <w:w w:val="80"/>
        </w:rPr>
        <w:t>, qui provoque l’apparition de nodules suivis de pustules et de croûtes,</w:t>
      </w:r>
    </w:p>
    <w:p w14:paraId="4F9D7893" w14:textId="77777777" w:rsidR="00FB016D" w:rsidRPr="00565C0C" w:rsidRDefault="00FB016D" w:rsidP="00FB016D">
      <w:pPr>
        <w:pStyle w:val="Paragraphedeliste"/>
        <w:numPr>
          <w:ilvl w:val="0"/>
          <w:numId w:val="23"/>
        </w:numPr>
        <w:spacing w:after="0"/>
        <w:ind w:right="0"/>
        <w:rPr>
          <w:w w:val="80"/>
        </w:rPr>
      </w:pPr>
      <w:r w:rsidRPr="00565C0C">
        <w:rPr>
          <w:w w:val="80"/>
        </w:rPr>
        <w:t>L’</w:t>
      </w:r>
      <w:r w:rsidRPr="00565C0C">
        <w:rPr>
          <w:b/>
          <w:w w:val="80"/>
        </w:rPr>
        <w:t>onchocercose</w:t>
      </w:r>
      <w:r w:rsidRPr="00565C0C">
        <w:rPr>
          <w:w w:val="80"/>
        </w:rPr>
        <w:t xml:space="preserve"> dont les nodules sont situés sur la ligne ventrale, les articulations et les tendons,</w:t>
      </w:r>
    </w:p>
    <w:p w14:paraId="67276DC6" w14:textId="77777777" w:rsidR="00FB016D" w:rsidRPr="00565C0C" w:rsidRDefault="00FB016D" w:rsidP="00FB016D">
      <w:pPr>
        <w:pStyle w:val="Paragraphedeliste"/>
        <w:numPr>
          <w:ilvl w:val="0"/>
          <w:numId w:val="23"/>
        </w:numPr>
        <w:spacing w:after="0"/>
        <w:ind w:right="0"/>
        <w:rPr>
          <w:w w:val="80"/>
        </w:rPr>
      </w:pPr>
      <w:r w:rsidRPr="00565C0C">
        <w:rPr>
          <w:w w:val="80"/>
        </w:rPr>
        <w:t xml:space="preserve">La </w:t>
      </w:r>
      <w:proofErr w:type="spellStart"/>
      <w:r w:rsidRPr="00565C0C">
        <w:rPr>
          <w:b/>
          <w:bCs/>
          <w:w w:val="80"/>
        </w:rPr>
        <w:t>besnoitiose</w:t>
      </w:r>
      <w:proofErr w:type="spellEnd"/>
      <w:r w:rsidRPr="00565C0C">
        <w:rPr>
          <w:b/>
          <w:bCs/>
          <w:w w:val="80"/>
        </w:rPr>
        <w:t>,</w:t>
      </w:r>
    </w:p>
    <w:p w14:paraId="6EAB44FB" w14:textId="77777777" w:rsidR="00FB016D" w:rsidRPr="00565C0C" w:rsidRDefault="00FB016D" w:rsidP="00FB016D">
      <w:pPr>
        <w:pStyle w:val="Paragraphedeliste"/>
        <w:numPr>
          <w:ilvl w:val="0"/>
          <w:numId w:val="23"/>
        </w:numPr>
        <w:spacing w:after="0"/>
        <w:ind w:right="0"/>
        <w:rPr>
          <w:w w:val="80"/>
        </w:rPr>
      </w:pPr>
      <w:r w:rsidRPr="00565C0C">
        <w:rPr>
          <w:w w:val="80"/>
        </w:rPr>
        <w:t xml:space="preserve">La </w:t>
      </w:r>
      <w:proofErr w:type="spellStart"/>
      <w:r w:rsidRPr="00565C0C">
        <w:rPr>
          <w:b/>
          <w:bCs/>
          <w:w w:val="80"/>
        </w:rPr>
        <w:t>dermatophilose</w:t>
      </w:r>
      <w:proofErr w:type="spellEnd"/>
      <w:r w:rsidRPr="00565C0C">
        <w:rPr>
          <w:b/>
          <w:bCs/>
          <w:w w:val="80"/>
        </w:rPr>
        <w:t>.</w:t>
      </w:r>
    </w:p>
    <w:p w14:paraId="3B823B48" w14:textId="77777777" w:rsidR="00FB016D" w:rsidRPr="00565C0C" w:rsidRDefault="00FB016D" w:rsidP="00FB016D"/>
    <w:p w14:paraId="0E291ACB" w14:textId="77777777" w:rsidR="00FB016D" w:rsidRDefault="00FB016D" w:rsidP="00FB016D">
      <w:pPr>
        <w:pStyle w:val="Titre3"/>
      </w:pPr>
      <w:r>
        <w:t>Diagnostic de laboratoire</w:t>
      </w:r>
    </w:p>
    <w:p w14:paraId="59F584DB" w14:textId="77777777" w:rsidR="00FB016D" w:rsidRDefault="00FB016D" w:rsidP="00FB016D">
      <w:pPr>
        <w:pStyle w:val="Titre4"/>
        <w:ind w:right="0"/>
      </w:pPr>
      <w:r>
        <w:t>PRÉLÈVEMENTS</w:t>
      </w:r>
    </w:p>
    <w:p w14:paraId="3AF6BEB8" w14:textId="77777777" w:rsidR="00FB016D" w:rsidRDefault="00FB016D" w:rsidP="00FB016D">
      <w:r>
        <w:t xml:space="preserve">Sur l’animal vivant : il convient en première intention de réaliser des </w:t>
      </w:r>
      <w:r>
        <w:rPr>
          <w:b/>
        </w:rPr>
        <w:t>biopsies</w:t>
      </w:r>
      <w:r>
        <w:t xml:space="preserve"> de </w:t>
      </w:r>
      <w:r>
        <w:rPr>
          <w:b/>
        </w:rPr>
        <w:t>nodules cutanés (2 à 4 nodules)</w:t>
      </w:r>
      <w:r>
        <w:t xml:space="preserve">. </w:t>
      </w:r>
      <w:proofErr w:type="gramStart"/>
      <w:r>
        <w:t>et</w:t>
      </w:r>
      <w:proofErr w:type="gramEnd"/>
      <w:r>
        <w:t xml:space="preserve"> de prélever du </w:t>
      </w:r>
      <w:r>
        <w:rPr>
          <w:b/>
        </w:rPr>
        <w:t xml:space="preserve">sang (EDTA) en particulier au cours de la phase fébrile </w:t>
      </w:r>
      <w:r>
        <w:t>de la maladie et, le cas échéant, les sécrétions lacrymales, nasales et orales par écouvillonnage en fonction des signes cliniques observés (</w:t>
      </w:r>
      <w:proofErr w:type="spellStart"/>
      <w:r>
        <w:t>épiphora</w:t>
      </w:r>
      <w:proofErr w:type="spellEnd"/>
      <w:r>
        <w:t xml:space="preserve">, jetage, ptyalisme…) </w:t>
      </w:r>
      <w:r>
        <w:rPr>
          <w:b/>
        </w:rPr>
        <w:t>au tout début de la maladie</w:t>
      </w:r>
      <w:r>
        <w:t xml:space="preserve">. </w:t>
      </w:r>
    </w:p>
    <w:p w14:paraId="26FF67AC" w14:textId="77777777" w:rsidR="00FB016D" w:rsidRDefault="00FB016D" w:rsidP="00FB016D">
      <w:r>
        <w:lastRenderedPageBreak/>
        <w:t>A l’</w:t>
      </w:r>
      <w:r>
        <w:rPr>
          <w:b/>
        </w:rPr>
        <w:t xml:space="preserve">autopsie, </w:t>
      </w:r>
      <w:r w:rsidRPr="00760BC7">
        <w:rPr>
          <w:bCs/>
        </w:rPr>
        <w:t>les</w:t>
      </w:r>
      <w:r>
        <w:rPr>
          <w:b/>
        </w:rPr>
        <w:t xml:space="preserve"> nodules </w:t>
      </w:r>
      <w:r w:rsidRPr="00760BC7">
        <w:rPr>
          <w:bCs/>
        </w:rPr>
        <w:t>sur</w:t>
      </w:r>
      <w:r>
        <w:rPr>
          <w:b/>
        </w:rPr>
        <w:t xml:space="preserve"> organes internes </w:t>
      </w:r>
      <w:bookmarkStart w:id="14" w:name="_Hlk191571027"/>
      <w:r w:rsidRPr="00760BC7">
        <w:rPr>
          <w:bCs/>
        </w:rPr>
        <w:t>(poumons, tractus digestif, ganglions…)</w:t>
      </w:r>
      <w:bookmarkEnd w:id="14"/>
      <w:r w:rsidRPr="00760BC7">
        <w:rPr>
          <w:bCs/>
        </w:rPr>
        <w:t xml:space="preserve"> peuvent</w:t>
      </w:r>
      <w:r>
        <w:rPr>
          <w:b/>
        </w:rPr>
        <w:t xml:space="preserve"> </w:t>
      </w:r>
      <w:r w:rsidRPr="00760BC7">
        <w:rPr>
          <w:bCs/>
        </w:rPr>
        <w:t>être</w:t>
      </w:r>
      <w:r>
        <w:rPr>
          <w:b/>
        </w:rPr>
        <w:t xml:space="preserve"> </w:t>
      </w:r>
      <w:r w:rsidRPr="00760BC7">
        <w:rPr>
          <w:bCs/>
        </w:rPr>
        <w:t>éventuellement</w:t>
      </w:r>
      <w:r>
        <w:rPr>
          <w:b/>
        </w:rPr>
        <w:t xml:space="preserve"> prélevés</w:t>
      </w:r>
      <w:r>
        <w:t>.</w:t>
      </w:r>
    </w:p>
    <w:p w14:paraId="2F38E842" w14:textId="77777777" w:rsidR="00FB016D" w:rsidRDefault="00FB016D" w:rsidP="00FB016D">
      <w:r>
        <w:t xml:space="preserve">Les </w:t>
      </w:r>
      <w:r w:rsidRPr="00760BC7">
        <w:rPr>
          <w:b/>
          <w:bCs/>
        </w:rPr>
        <w:t>prélèvements de sang</w:t>
      </w:r>
      <w:r>
        <w:t xml:space="preserve"> sur tube sec (collection du sérum) pour analyse sérologique sont intéressants pour</w:t>
      </w:r>
      <w:r w:rsidRPr="009C02E0">
        <w:t xml:space="preserve"> </w:t>
      </w:r>
      <w:r>
        <w:t xml:space="preserve">des </w:t>
      </w:r>
      <w:r w:rsidRPr="00760BC7">
        <w:rPr>
          <w:b/>
          <w:bCs/>
        </w:rPr>
        <w:t>foyers anciens</w:t>
      </w:r>
      <w:r>
        <w:t xml:space="preserve"> (au-delà de 15 jours) </w:t>
      </w:r>
      <w:r w:rsidRPr="00760BC7">
        <w:t>et de ce fait, ne sont pas réalisés en première intention</w:t>
      </w:r>
      <w:r>
        <w:t xml:space="preserve">. </w:t>
      </w:r>
    </w:p>
    <w:p w14:paraId="3532FD5A" w14:textId="77777777" w:rsidR="00FB016D" w:rsidRDefault="00FB016D" w:rsidP="00FB016D">
      <w:r>
        <w:t xml:space="preserve">Les </w:t>
      </w:r>
      <w:r w:rsidRPr="00760BC7">
        <w:rPr>
          <w:b/>
          <w:bCs/>
        </w:rPr>
        <w:t>prélèvements</w:t>
      </w:r>
      <w:r>
        <w:t xml:space="preserve"> doivent être </w:t>
      </w:r>
      <w:r w:rsidRPr="00760BC7">
        <w:rPr>
          <w:b/>
          <w:bCs/>
        </w:rPr>
        <w:t>conservés à sec</w:t>
      </w:r>
      <w:r>
        <w:t xml:space="preserve"> (nodules, tissus) ou en </w:t>
      </w:r>
      <w:r w:rsidRPr="00760BC7">
        <w:rPr>
          <w:b/>
          <w:bCs/>
        </w:rPr>
        <w:t>milieu de transport</w:t>
      </w:r>
      <w:r>
        <w:t xml:space="preserve"> </w:t>
      </w:r>
      <w:r w:rsidRPr="00760BC7">
        <w:t>pour virus avec PBS et antibiotiques</w:t>
      </w:r>
      <w:r>
        <w:t xml:space="preserve"> (écouvillons). L’ensemble des prélèvements (tissus, sang, écouvillons) doit être </w:t>
      </w:r>
      <w:r w:rsidRPr="00760BC7">
        <w:rPr>
          <w:b/>
          <w:bCs/>
        </w:rPr>
        <w:t>acheminé</w:t>
      </w:r>
      <w:r>
        <w:t xml:space="preserve"> au laboratoire </w:t>
      </w:r>
      <w:r w:rsidRPr="00760BC7">
        <w:rPr>
          <w:b/>
          <w:bCs/>
        </w:rPr>
        <w:t>sous couvert du froid</w:t>
      </w:r>
      <w:r>
        <w:t xml:space="preserve"> (+ 4°C, glace) et conditionnés avec toutes les </w:t>
      </w:r>
      <w:r w:rsidRPr="00760BC7">
        <w:t>précautions</w:t>
      </w:r>
      <w:r>
        <w:t xml:space="preserve"> d’usage (</w:t>
      </w:r>
      <w:r w:rsidRPr="00760BC7">
        <w:rPr>
          <w:b/>
          <w:bCs/>
        </w:rPr>
        <w:t>triple emballage</w:t>
      </w:r>
      <w:r>
        <w:t xml:space="preserve">) pour éviter la </w:t>
      </w:r>
      <w:r w:rsidRPr="00760BC7">
        <w:t>dissémination</w:t>
      </w:r>
      <w:r>
        <w:t xml:space="preserve"> du virus.</w:t>
      </w:r>
    </w:p>
    <w:p w14:paraId="002E2337" w14:textId="77777777" w:rsidR="00FB016D" w:rsidRDefault="00FB016D" w:rsidP="00FB016D">
      <w:pPr>
        <w:pStyle w:val="Titre4"/>
        <w:ind w:right="0"/>
      </w:pPr>
      <w:bookmarkStart w:id="15" w:name="_Hlk191557575"/>
      <w:r>
        <w:t>LABORATOIRE COMPÉTENT : LNR poxviroses des ruminants</w:t>
      </w:r>
      <w:bookmarkEnd w:id="15"/>
    </w:p>
    <w:p w14:paraId="0509AD55" w14:textId="77777777" w:rsidR="00FB016D" w:rsidRDefault="00FB016D" w:rsidP="00FB016D">
      <w:pPr>
        <w:spacing w:after="0"/>
        <w:jc w:val="center"/>
      </w:pPr>
      <w:r>
        <w:t>CIRAD Montpellier</w:t>
      </w:r>
    </w:p>
    <w:p w14:paraId="5F4B39C5" w14:textId="77777777" w:rsidR="00FB016D" w:rsidRDefault="00FB016D" w:rsidP="00FB016D">
      <w:pPr>
        <w:spacing w:after="0"/>
        <w:jc w:val="center"/>
      </w:pPr>
      <w:r>
        <w:t>UMR ASTRE</w:t>
      </w:r>
    </w:p>
    <w:p w14:paraId="63F42300" w14:textId="77777777" w:rsidR="00FB016D" w:rsidRDefault="00FB016D" w:rsidP="00FB016D">
      <w:pPr>
        <w:spacing w:after="0"/>
        <w:jc w:val="center"/>
      </w:pPr>
      <w:r>
        <w:t>TA A-117/G Rdc Labo Bat G</w:t>
      </w:r>
    </w:p>
    <w:p w14:paraId="27EFA84B" w14:textId="77777777" w:rsidR="00FB016D" w:rsidRDefault="00FB016D" w:rsidP="00FB016D">
      <w:pPr>
        <w:spacing w:after="0"/>
        <w:jc w:val="center"/>
      </w:pPr>
      <w:r>
        <w:t xml:space="preserve">Campus international de </w:t>
      </w:r>
      <w:proofErr w:type="spellStart"/>
      <w:r>
        <w:t>Baillarguet</w:t>
      </w:r>
      <w:proofErr w:type="spellEnd"/>
    </w:p>
    <w:p w14:paraId="3018114D" w14:textId="77777777" w:rsidR="00FB016D" w:rsidRDefault="00FB016D" w:rsidP="00FB016D">
      <w:pPr>
        <w:spacing w:after="0"/>
        <w:jc w:val="center"/>
      </w:pPr>
      <w:r>
        <w:t>34398 Montpellier CEDEX 5, France</w:t>
      </w:r>
    </w:p>
    <w:p w14:paraId="265C7876" w14:textId="77777777" w:rsidR="00FB016D" w:rsidRDefault="00FB016D" w:rsidP="00FB016D">
      <w:pPr>
        <w:spacing w:after="0"/>
        <w:jc w:val="center"/>
      </w:pPr>
      <w:r>
        <w:t>tél. : +33 4 67 61 58 00 (standard CIRAD)</w:t>
      </w:r>
    </w:p>
    <w:p w14:paraId="44861744" w14:textId="77777777" w:rsidR="00FB016D" w:rsidRDefault="00FB016D" w:rsidP="00FB016D">
      <w:pPr>
        <w:ind w:left="708" w:firstLine="708"/>
      </w:pPr>
      <w:r>
        <w:rPr>
          <w:rFonts w:eastAsiaTheme="minorEastAsia"/>
          <w:lang w:eastAsia="fr-FR"/>
        </w:rPr>
        <w:t>+33 4 67 59 39 04</w:t>
      </w:r>
      <w:r>
        <w:t xml:space="preserve"> (secrétariat)</w:t>
      </w:r>
    </w:p>
    <w:p w14:paraId="673761B8" w14:textId="77777777" w:rsidR="00FB016D" w:rsidRDefault="00FB016D" w:rsidP="00FB016D">
      <w:pPr>
        <w:pStyle w:val="Titre4"/>
        <w:ind w:left="708" w:right="0" w:firstLine="708"/>
      </w:pPr>
    </w:p>
    <w:p w14:paraId="52ACBDC3" w14:textId="77777777" w:rsidR="00FB016D" w:rsidRDefault="00FB016D" w:rsidP="00FB016D">
      <w:pPr>
        <w:pStyle w:val="Titre4"/>
        <w:ind w:right="0"/>
      </w:pPr>
      <w:r>
        <w:t>ANALYSES</w:t>
      </w:r>
    </w:p>
    <w:p w14:paraId="47F8CD96" w14:textId="77777777" w:rsidR="00FB016D" w:rsidRDefault="00FB016D" w:rsidP="00FB016D">
      <w:pPr>
        <w:pStyle w:val="Titre5"/>
        <w:ind w:right="0"/>
      </w:pPr>
      <w:bookmarkStart w:id="16" w:name="_Hlk191557428"/>
      <w:r>
        <w:t>Virologie</w:t>
      </w:r>
      <w:bookmarkEnd w:id="16"/>
    </w:p>
    <w:p w14:paraId="2EF3D4FA" w14:textId="77777777" w:rsidR="00FB016D" w:rsidRPr="00565C0C" w:rsidRDefault="00FB016D" w:rsidP="00FB016D">
      <w:pPr>
        <w:pStyle w:val="Paragraphedeliste"/>
        <w:numPr>
          <w:ilvl w:val="0"/>
          <w:numId w:val="25"/>
        </w:numPr>
        <w:ind w:right="0"/>
        <w:rPr>
          <w:w w:val="80"/>
        </w:rPr>
      </w:pPr>
      <w:r>
        <w:t xml:space="preserve">Un </w:t>
      </w:r>
      <w:r w:rsidRPr="00565C0C">
        <w:rPr>
          <w:b/>
          <w:w w:val="80"/>
        </w:rPr>
        <w:t>diagnostic d’urgence</w:t>
      </w:r>
      <w:r w:rsidRPr="00565C0C">
        <w:rPr>
          <w:w w:val="80"/>
        </w:rPr>
        <w:t xml:space="preserve"> visant à identifier l’agent pathogène est réalisé par la mise en œuvre de PCR en temps réel (PCR pan-</w:t>
      </w:r>
      <w:proofErr w:type="spellStart"/>
      <w:r w:rsidRPr="00565C0C">
        <w:rPr>
          <w:w w:val="80"/>
        </w:rPr>
        <w:lastRenderedPageBreak/>
        <w:t>capripoxvirus</w:t>
      </w:r>
      <w:proofErr w:type="spellEnd"/>
      <w:r w:rsidRPr="00565C0C">
        <w:rPr>
          <w:w w:val="80"/>
        </w:rPr>
        <w:t xml:space="preserve">, PCR spécifique du DNCV). </w:t>
      </w:r>
      <w:bookmarkStart w:id="17" w:name="_Hlk191557289"/>
      <w:r w:rsidRPr="00565C0C">
        <w:rPr>
          <w:w w:val="80"/>
        </w:rPr>
        <w:t>Mise en œuvre de la méthode sous trois jours.</w:t>
      </w:r>
      <w:bookmarkEnd w:id="17"/>
    </w:p>
    <w:p w14:paraId="5B3E3A5C" w14:textId="77777777" w:rsidR="00FB016D" w:rsidRPr="00565C0C" w:rsidRDefault="00FB016D" w:rsidP="00FB016D">
      <w:pPr>
        <w:pStyle w:val="Paragraphedeliste"/>
        <w:numPr>
          <w:ilvl w:val="0"/>
          <w:numId w:val="25"/>
        </w:numPr>
        <w:ind w:right="0"/>
        <w:rPr>
          <w:w w:val="80"/>
        </w:rPr>
      </w:pPr>
      <w:r w:rsidRPr="00565C0C">
        <w:rPr>
          <w:b/>
          <w:bCs/>
          <w:w w:val="80"/>
        </w:rPr>
        <w:t>Isolement et identification</w:t>
      </w:r>
      <w:r w:rsidRPr="00565C0C">
        <w:rPr>
          <w:w w:val="80"/>
        </w:rPr>
        <w:t xml:space="preserve"> : l’isolement est réalisé sur lignées cellulaires. L’identification virale se fait par </w:t>
      </w:r>
      <w:r w:rsidRPr="00565C0C">
        <w:rPr>
          <w:b/>
          <w:w w:val="80"/>
        </w:rPr>
        <w:t>PCR en temps réel</w:t>
      </w:r>
      <w:r w:rsidRPr="00565C0C">
        <w:rPr>
          <w:w w:val="80"/>
        </w:rPr>
        <w:t xml:space="preserve">. </w:t>
      </w:r>
      <w:bookmarkStart w:id="18" w:name="_Hlk191557314"/>
      <w:r w:rsidRPr="00565C0C">
        <w:rPr>
          <w:w w:val="80"/>
        </w:rPr>
        <w:t>Mise en œuvre de la méthode sous trois voire quatre semaines.</w:t>
      </w:r>
    </w:p>
    <w:p w14:paraId="7D51B675" w14:textId="77777777" w:rsidR="00FB016D" w:rsidRDefault="00FB016D" w:rsidP="00FB016D">
      <w:pPr>
        <w:pStyle w:val="Titre5"/>
        <w:ind w:right="0"/>
      </w:pPr>
      <w:bookmarkStart w:id="19" w:name="_Hlk191557442"/>
      <w:bookmarkEnd w:id="18"/>
      <w:r>
        <w:t>Sérologie</w:t>
      </w:r>
      <w:bookmarkEnd w:id="19"/>
    </w:p>
    <w:p w14:paraId="42D19AF1" w14:textId="77777777" w:rsidR="00FB016D" w:rsidRDefault="00FB016D" w:rsidP="00FB016D">
      <w:pPr>
        <w:pStyle w:val="Paragraphedeliste"/>
        <w:numPr>
          <w:ilvl w:val="0"/>
          <w:numId w:val="24"/>
        </w:numPr>
        <w:ind w:left="360" w:right="0"/>
      </w:pPr>
      <w:r>
        <w:t xml:space="preserve">Réalisation de </w:t>
      </w:r>
      <w:r>
        <w:rPr>
          <w:b/>
        </w:rPr>
        <w:t>test ELISA et test de séroneutralisation virale (SNT)</w:t>
      </w:r>
      <w:r>
        <w:t>. Réalisation du test sous 4 heures (ELISA) et sous 15 jours (SNT).</w:t>
      </w:r>
    </w:p>
    <w:p w14:paraId="7E31F3E0" w14:textId="77777777" w:rsidR="00FB016D" w:rsidRDefault="00FB016D" w:rsidP="00FB016D">
      <w:pPr>
        <w:pStyle w:val="Titre2"/>
      </w:pPr>
      <w:r>
        <w:t>QUE FAIRE EN CAS DE SUSPICION CLINIQUE ?</w:t>
      </w:r>
    </w:p>
    <w:p w14:paraId="5D65E0E5" w14:textId="77777777" w:rsidR="00FB016D" w:rsidRDefault="00FB016D" w:rsidP="00FB016D">
      <w:r w:rsidRPr="00DE5DE8">
        <w:rPr>
          <w:bCs/>
        </w:rPr>
        <w:t>En cas de</w:t>
      </w:r>
      <w:r>
        <w:rPr>
          <w:b/>
        </w:rPr>
        <w:t xml:space="preserve"> suspicion </w:t>
      </w:r>
      <w:r w:rsidRPr="00DE5DE8">
        <w:rPr>
          <w:bCs/>
        </w:rPr>
        <w:t>de</w:t>
      </w:r>
      <w:r>
        <w:rPr>
          <w:b/>
        </w:rPr>
        <w:t xml:space="preserve"> dermatose nodulaire contagieuse</w:t>
      </w:r>
      <w:r>
        <w:t xml:space="preserve">, il convient tout d'abord de </w:t>
      </w:r>
      <w:r>
        <w:rPr>
          <w:b/>
        </w:rPr>
        <w:t>récolter les informations cliniques et épidémiologiques</w:t>
      </w:r>
      <w:r>
        <w:t xml:space="preserve"> nécessaires pour l'étayer, de </w:t>
      </w:r>
      <w:r>
        <w:rPr>
          <w:b/>
        </w:rPr>
        <w:t>recenser</w:t>
      </w:r>
      <w:r>
        <w:t xml:space="preserve"> les </w:t>
      </w:r>
      <w:r>
        <w:rPr>
          <w:b/>
        </w:rPr>
        <w:t xml:space="preserve">animaux réceptifs </w:t>
      </w:r>
      <w:r>
        <w:t xml:space="preserve">de l'exploitation et de procéder à une </w:t>
      </w:r>
      <w:r>
        <w:rPr>
          <w:b/>
        </w:rPr>
        <w:t>enquête épidémiologique initiale.</w:t>
      </w:r>
    </w:p>
    <w:p w14:paraId="2871893C" w14:textId="77777777" w:rsidR="00FB016D" w:rsidRDefault="00FB016D" w:rsidP="00FB016D">
      <w:r>
        <w:t xml:space="preserve">Par ailleurs, </w:t>
      </w:r>
      <w:r>
        <w:rPr>
          <w:b/>
        </w:rPr>
        <w:t>au cours de la visite d'élevage</w:t>
      </w:r>
      <w:r>
        <w:t xml:space="preserve">, le praticien doit </w:t>
      </w:r>
      <w:r>
        <w:rPr>
          <w:b/>
        </w:rPr>
        <w:t>contacter la DD(ETS)PP</w:t>
      </w:r>
      <w:r>
        <w:t xml:space="preserve"> afin de :</w:t>
      </w:r>
    </w:p>
    <w:p w14:paraId="26AA86AF" w14:textId="77777777" w:rsidR="00FB016D" w:rsidRPr="00565C0C" w:rsidRDefault="00FB016D" w:rsidP="00FB016D">
      <w:pPr>
        <w:pStyle w:val="Paragraphedeliste"/>
        <w:numPr>
          <w:ilvl w:val="0"/>
          <w:numId w:val="22"/>
        </w:numPr>
        <w:ind w:right="0"/>
        <w:rPr>
          <w:w w:val="80"/>
        </w:rPr>
      </w:pPr>
      <w:r w:rsidRPr="00565C0C">
        <w:rPr>
          <w:b/>
          <w:w w:val="80"/>
        </w:rPr>
        <w:t>Déclarer la suspicion</w:t>
      </w:r>
      <w:r w:rsidRPr="00565C0C">
        <w:rPr>
          <w:w w:val="80"/>
        </w:rPr>
        <w:t>,</w:t>
      </w:r>
    </w:p>
    <w:p w14:paraId="76FDB0C7" w14:textId="77777777" w:rsidR="00FB016D" w:rsidRPr="00565C0C" w:rsidRDefault="00FB016D" w:rsidP="00FB016D">
      <w:pPr>
        <w:pStyle w:val="Paragraphedeliste"/>
        <w:numPr>
          <w:ilvl w:val="0"/>
          <w:numId w:val="22"/>
        </w:numPr>
        <w:ind w:right="0"/>
        <w:rPr>
          <w:w w:val="80"/>
        </w:rPr>
      </w:pPr>
      <w:r w:rsidRPr="00565C0C">
        <w:rPr>
          <w:b/>
          <w:w w:val="80"/>
        </w:rPr>
        <w:t>Solliciter</w:t>
      </w:r>
      <w:r w:rsidRPr="00565C0C">
        <w:rPr>
          <w:w w:val="80"/>
        </w:rPr>
        <w:t xml:space="preserve"> éventuellement </w:t>
      </w:r>
      <w:r w:rsidRPr="00565C0C">
        <w:rPr>
          <w:b/>
          <w:w w:val="80"/>
        </w:rPr>
        <w:t>une aide au diagnostic</w:t>
      </w:r>
      <w:r w:rsidRPr="00565C0C">
        <w:rPr>
          <w:w w:val="80"/>
        </w:rPr>
        <w:t xml:space="preserve"> par un expert,</w:t>
      </w:r>
    </w:p>
    <w:p w14:paraId="7D73ADE3" w14:textId="77777777" w:rsidR="00FB016D" w:rsidRPr="00565C0C" w:rsidRDefault="00FB016D" w:rsidP="00FB016D">
      <w:pPr>
        <w:pStyle w:val="Paragraphedeliste"/>
        <w:numPr>
          <w:ilvl w:val="0"/>
          <w:numId w:val="22"/>
        </w:numPr>
        <w:ind w:right="0"/>
        <w:rPr>
          <w:w w:val="80"/>
        </w:rPr>
      </w:pPr>
      <w:r w:rsidRPr="00565C0C">
        <w:rPr>
          <w:b/>
          <w:w w:val="80"/>
        </w:rPr>
        <w:t>Valider</w:t>
      </w:r>
      <w:r w:rsidRPr="00565C0C">
        <w:rPr>
          <w:w w:val="80"/>
        </w:rPr>
        <w:t xml:space="preserve"> la </w:t>
      </w:r>
      <w:r w:rsidRPr="00565C0C">
        <w:rPr>
          <w:b/>
          <w:w w:val="80"/>
        </w:rPr>
        <w:t>nature des prélèvements</w:t>
      </w:r>
      <w:r w:rsidRPr="00565C0C">
        <w:rPr>
          <w:w w:val="80"/>
        </w:rPr>
        <w:t xml:space="preserve"> et leurs modalités d'envoi,</w:t>
      </w:r>
    </w:p>
    <w:p w14:paraId="59E2D75F" w14:textId="77777777" w:rsidR="00FB016D" w:rsidRPr="00565C0C" w:rsidRDefault="00FB016D" w:rsidP="00FB016D">
      <w:pPr>
        <w:pStyle w:val="Paragraphedeliste"/>
        <w:numPr>
          <w:ilvl w:val="0"/>
          <w:numId w:val="22"/>
        </w:numPr>
        <w:ind w:right="0"/>
        <w:rPr>
          <w:w w:val="80"/>
        </w:rPr>
      </w:pPr>
      <w:r w:rsidRPr="00565C0C">
        <w:rPr>
          <w:b/>
          <w:w w:val="80"/>
        </w:rPr>
        <w:t>Préciser</w:t>
      </w:r>
      <w:r w:rsidRPr="00565C0C">
        <w:rPr>
          <w:w w:val="80"/>
        </w:rPr>
        <w:t xml:space="preserve"> les </w:t>
      </w:r>
      <w:r w:rsidRPr="00565C0C">
        <w:rPr>
          <w:b/>
          <w:w w:val="80"/>
        </w:rPr>
        <w:t>mesures conservatoires</w:t>
      </w:r>
      <w:r w:rsidRPr="00565C0C">
        <w:rPr>
          <w:w w:val="80"/>
        </w:rPr>
        <w:t xml:space="preserve"> à prendre sur l'élevage afin de </w:t>
      </w:r>
      <w:r w:rsidRPr="00565C0C">
        <w:rPr>
          <w:b/>
          <w:w w:val="80"/>
        </w:rPr>
        <w:t xml:space="preserve">limiter les risques de </w:t>
      </w:r>
      <w:r w:rsidRPr="00565C0C">
        <w:rPr>
          <w:b/>
          <w:w w:val="80"/>
        </w:rPr>
        <w:lastRenderedPageBreak/>
        <w:t>propagation</w:t>
      </w:r>
      <w:r w:rsidRPr="00565C0C">
        <w:rPr>
          <w:w w:val="80"/>
        </w:rPr>
        <w:t xml:space="preserve"> de la maladie en prescrivant à l'éleveur :</w:t>
      </w:r>
    </w:p>
    <w:p w14:paraId="6E6D45BB" w14:textId="77777777" w:rsidR="00FB016D" w:rsidRPr="00565C0C" w:rsidRDefault="00FB016D" w:rsidP="00565C0C">
      <w:pPr>
        <w:pStyle w:val="Paragraphedeliste"/>
        <w:numPr>
          <w:ilvl w:val="1"/>
          <w:numId w:val="22"/>
        </w:numPr>
        <w:ind w:left="851" w:right="0"/>
        <w:rPr>
          <w:w w:val="80"/>
        </w:rPr>
      </w:pPr>
      <w:r w:rsidRPr="00565C0C">
        <w:rPr>
          <w:w w:val="80"/>
        </w:rPr>
        <w:t xml:space="preserve">De </w:t>
      </w:r>
      <w:r w:rsidRPr="00565C0C">
        <w:rPr>
          <w:b/>
          <w:w w:val="80"/>
        </w:rPr>
        <w:t>séquestrer</w:t>
      </w:r>
      <w:r w:rsidRPr="00565C0C">
        <w:rPr>
          <w:w w:val="80"/>
        </w:rPr>
        <w:t xml:space="preserve"> les </w:t>
      </w:r>
      <w:r w:rsidRPr="00565C0C">
        <w:rPr>
          <w:b/>
          <w:w w:val="80"/>
        </w:rPr>
        <w:t>animaux malades</w:t>
      </w:r>
      <w:r w:rsidRPr="00565C0C">
        <w:rPr>
          <w:w w:val="80"/>
        </w:rPr>
        <w:t xml:space="preserve"> ;</w:t>
      </w:r>
    </w:p>
    <w:p w14:paraId="7118F830" w14:textId="77777777" w:rsidR="00FB016D" w:rsidRPr="00565C0C" w:rsidRDefault="00FB016D" w:rsidP="00565C0C">
      <w:pPr>
        <w:pStyle w:val="Paragraphedeliste"/>
        <w:numPr>
          <w:ilvl w:val="1"/>
          <w:numId w:val="22"/>
        </w:numPr>
        <w:ind w:left="851" w:right="0"/>
        <w:rPr>
          <w:w w:val="80"/>
        </w:rPr>
      </w:pPr>
      <w:r w:rsidRPr="00565C0C">
        <w:rPr>
          <w:w w:val="80"/>
        </w:rPr>
        <w:t>D'</w:t>
      </w:r>
      <w:r w:rsidRPr="00565C0C">
        <w:rPr>
          <w:b/>
          <w:w w:val="80"/>
        </w:rPr>
        <w:t>interdire</w:t>
      </w:r>
      <w:r w:rsidRPr="00565C0C">
        <w:rPr>
          <w:w w:val="80"/>
        </w:rPr>
        <w:t xml:space="preserve"> dans l'immédiat </w:t>
      </w:r>
      <w:r w:rsidRPr="00565C0C">
        <w:rPr>
          <w:b/>
          <w:w w:val="80"/>
        </w:rPr>
        <w:t xml:space="preserve">toute sortie ou toute entrée des animaux </w:t>
      </w:r>
      <w:r w:rsidRPr="00565C0C">
        <w:rPr>
          <w:w w:val="80"/>
        </w:rPr>
        <w:t xml:space="preserve">des espèces réceptives, ainsi que </w:t>
      </w:r>
      <w:r w:rsidRPr="00565C0C">
        <w:rPr>
          <w:b/>
          <w:w w:val="80"/>
        </w:rPr>
        <w:t>toute sortie de produit ou déchet</w:t>
      </w:r>
      <w:r w:rsidRPr="00565C0C">
        <w:rPr>
          <w:w w:val="80"/>
        </w:rPr>
        <w:t xml:space="preserve"> susceptible de véhiculer le virus.</w:t>
      </w:r>
    </w:p>
    <w:p w14:paraId="65F640F2" w14:textId="77777777" w:rsidR="00FB016D" w:rsidRPr="00565C0C" w:rsidRDefault="00FB016D" w:rsidP="00565C0C">
      <w:pPr>
        <w:pStyle w:val="Paragraphedeliste"/>
        <w:numPr>
          <w:ilvl w:val="1"/>
          <w:numId w:val="22"/>
        </w:numPr>
        <w:spacing w:line="256" w:lineRule="auto"/>
        <w:ind w:left="851" w:right="0"/>
        <w:rPr>
          <w:w w:val="80"/>
        </w:rPr>
      </w:pPr>
      <w:r w:rsidRPr="00565C0C">
        <w:rPr>
          <w:w w:val="80"/>
        </w:rPr>
        <w:t>D’appliquer les mesures nécessaires de biosécurité et de désinfection de tout véhicule ou personne entrant ou sortant de l’élevage.</w:t>
      </w:r>
    </w:p>
    <w:p w14:paraId="33267954" w14:textId="77777777" w:rsidR="00FB016D" w:rsidRDefault="00FB016D" w:rsidP="00FB016D">
      <w:r>
        <w:t xml:space="preserve">Ces mesures seront confirmées et précisées par </w:t>
      </w:r>
      <w:r>
        <w:rPr>
          <w:b/>
        </w:rPr>
        <w:t xml:space="preserve">un arrêté préfectoral de mise sous surveillance </w:t>
      </w:r>
      <w:r>
        <w:t>(APMS).</w:t>
      </w:r>
    </w:p>
    <w:p w14:paraId="66095731" w14:textId="77777777" w:rsidR="00FB016D" w:rsidRDefault="00FB016D" w:rsidP="00FB016D">
      <w:r>
        <w:rPr>
          <w:b/>
        </w:rPr>
        <w:t>En quittant l'élevage</w:t>
      </w:r>
      <w:r>
        <w:t xml:space="preserve">, le praticien doit veiller à appliquer soigneusement les </w:t>
      </w:r>
      <w:r>
        <w:rPr>
          <w:b/>
        </w:rPr>
        <w:t>mesures d'hygiène</w:t>
      </w:r>
      <w:r>
        <w:t xml:space="preserve"> habituelles : désinfection des bottes, des matériels… Il peut être aussi nécessaire de prendre des </w:t>
      </w:r>
      <w:r>
        <w:rPr>
          <w:b/>
        </w:rPr>
        <w:t>précautions complémentaires</w:t>
      </w:r>
      <w:r>
        <w:t xml:space="preserve"> (changement de tenue, désinfection des roues du véhicule…) compte tenu de la </w:t>
      </w:r>
      <w:r>
        <w:rPr>
          <w:b/>
        </w:rPr>
        <w:t>résistance du virus</w:t>
      </w:r>
      <w:r>
        <w:t xml:space="preserve"> dans le milieu extérieur</w:t>
      </w:r>
    </w:p>
    <w:p w14:paraId="0F62DE2D" w14:textId="77777777" w:rsidR="00FB016D" w:rsidRDefault="00FB016D" w:rsidP="00FB016D">
      <w:pPr>
        <w:pStyle w:val="Titre2"/>
      </w:pPr>
      <w:r>
        <w:t>ENQUÊTE ÉPIDÉMIOLOGIQUE INITIALE</w:t>
      </w:r>
    </w:p>
    <w:p w14:paraId="5EF222FC" w14:textId="77777777" w:rsidR="00FB016D" w:rsidRDefault="00FB016D" w:rsidP="00FB016D">
      <w:r w:rsidRPr="00DE5DE8">
        <w:rPr>
          <w:bCs/>
        </w:rPr>
        <w:t>Une</w:t>
      </w:r>
      <w:r>
        <w:rPr>
          <w:b/>
        </w:rPr>
        <w:t xml:space="preserve"> enquête exhaustive</w:t>
      </w:r>
      <w:r w:rsidRPr="00DE5DE8">
        <w:rPr>
          <w:bCs/>
        </w:rPr>
        <w:t xml:space="preserve">, réalisée par la DD(ETS)PP, </w:t>
      </w:r>
      <w:r>
        <w:rPr>
          <w:b/>
        </w:rPr>
        <w:t>complètera cette enquête initiale. Toutefois, pour identifier au plus t</w:t>
      </w:r>
      <w:r>
        <w:rPr>
          <w:rFonts w:cs="Marianne"/>
          <w:b/>
        </w:rPr>
        <w:t>ô</w:t>
      </w:r>
      <w:r>
        <w:rPr>
          <w:b/>
        </w:rPr>
        <w:t>t les principaux facteurs de risque</w:t>
      </w:r>
      <w:r>
        <w:t>, le praticien doit proc</w:t>
      </w:r>
      <w:r>
        <w:rPr>
          <w:rFonts w:cs="Marianne"/>
        </w:rPr>
        <w:t>é</w:t>
      </w:r>
      <w:r>
        <w:t>der avec l</w:t>
      </w:r>
      <w:r>
        <w:rPr>
          <w:rFonts w:cs="Marianne"/>
        </w:rPr>
        <w:t>’é</w:t>
      </w:r>
      <w:r>
        <w:t>leveur :</w:t>
      </w:r>
    </w:p>
    <w:p w14:paraId="0A35180F" w14:textId="77777777" w:rsidR="00FB016D" w:rsidRDefault="00FB016D" w:rsidP="00FB016D">
      <w:r>
        <w:t>•</w:t>
      </w:r>
      <w:r>
        <w:tab/>
        <w:t xml:space="preserve">à une </w:t>
      </w:r>
      <w:r>
        <w:rPr>
          <w:b/>
        </w:rPr>
        <w:t>estimation de la fourchette des dates probables d’introduction de l’agent</w:t>
      </w:r>
      <w:r>
        <w:t xml:space="preserve"> : prendre en compte un d</w:t>
      </w:r>
      <w:r>
        <w:rPr>
          <w:rFonts w:cs="Marianne"/>
        </w:rPr>
        <w:t>é</w:t>
      </w:r>
      <w:r>
        <w:t>lai d</w:t>
      </w:r>
      <w:r>
        <w:rPr>
          <w:rFonts w:cs="Marianne"/>
        </w:rPr>
        <w:t>’</w:t>
      </w:r>
      <w:r>
        <w:t>incubation de l</w:t>
      </w:r>
      <w:r>
        <w:rPr>
          <w:rFonts w:cs="Marianne"/>
        </w:rPr>
        <w:t>’</w:t>
      </w:r>
      <w:r>
        <w:t xml:space="preserve">ordre de quelques jours </w:t>
      </w:r>
      <w:r>
        <w:rPr>
          <w:rFonts w:cs="Marianne"/>
        </w:rPr>
        <w:t>à</w:t>
      </w:r>
      <w:r>
        <w:t xml:space="preserve"> une semaine ;</w:t>
      </w:r>
    </w:p>
    <w:p w14:paraId="31E8AA40" w14:textId="77777777" w:rsidR="00FB016D" w:rsidRDefault="00FB016D" w:rsidP="00FB016D">
      <w:r>
        <w:lastRenderedPageBreak/>
        <w:t>•</w:t>
      </w:r>
      <w:r>
        <w:tab/>
        <w:t xml:space="preserve">à une enquête « amont », </w:t>
      </w:r>
      <w:r>
        <w:rPr>
          <w:b/>
        </w:rPr>
        <w:t>première réflexion sur l</w:t>
      </w:r>
      <w:r>
        <w:rPr>
          <w:rFonts w:cs="Marianne"/>
          <w:b/>
        </w:rPr>
        <w:t>’</w:t>
      </w:r>
      <w:r>
        <w:rPr>
          <w:b/>
        </w:rPr>
        <w:t>origine possible de la contamination du foyer</w:t>
      </w:r>
      <w:r>
        <w:t xml:space="preserve"> (la période à explorer correspond à la fourchette de dates calculée ci-dessus) : recenser en priorité les introductions d’animaux, autres contacts rapprochés (période réglementaire du traçage amont 28 jours</w:t>
      </w:r>
      <w:proofErr w:type="gramStart"/>
      <w:r>
        <w:t>);</w:t>
      </w:r>
      <w:proofErr w:type="gramEnd"/>
    </w:p>
    <w:p w14:paraId="45D838EF" w14:textId="77777777" w:rsidR="00FB016D" w:rsidRDefault="00FB016D" w:rsidP="00FB016D">
      <w:r>
        <w:t>•</w:t>
      </w:r>
      <w:r>
        <w:tab/>
        <w:t xml:space="preserve">à une enquête « aval », </w:t>
      </w:r>
      <w:r>
        <w:rPr>
          <w:b/>
        </w:rPr>
        <w:t>premier recensement des exploitations qui pourraient avoir été infectées par le foyer</w:t>
      </w:r>
      <w:r>
        <w:t xml:space="preserve"> (la période à explorer couvre la fourchette de dates ci-dessus et court jusqu’au jour de l’enquête) : recenser en priorité les sorties d’animaux, autres contacts rapprochés.</w:t>
      </w:r>
    </w:p>
    <w:p w14:paraId="130D00F1" w14:textId="77777777" w:rsidR="00FB016D" w:rsidRDefault="00FB016D" w:rsidP="00FB016D">
      <w:pPr>
        <w:pStyle w:val="Titre2"/>
      </w:pPr>
      <w:r>
        <w:t>GESTION EN CAS DE CONFIRMATION</w:t>
      </w:r>
    </w:p>
    <w:p w14:paraId="74E9E867" w14:textId="77777777" w:rsidR="00FB016D" w:rsidRDefault="00FB016D" w:rsidP="00FB016D">
      <w:r>
        <w:t xml:space="preserve">Selon la réglementation européenne, la lutte contre la dermatose nodulaire contagieuse serait </w:t>
      </w:r>
      <w:r>
        <w:rPr>
          <w:i/>
        </w:rPr>
        <w:t>a priori</w:t>
      </w:r>
      <w:r>
        <w:t xml:space="preserve"> assurée par des </w:t>
      </w:r>
      <w:r>
        <w:rPr>
          <w:b/>
        </w:rPr>
        <w:t>mesures sanitaires classiques</w:t>
      </w:r>
      <w:r>
        <w:t xml:space="preserve">, avec </w:t>
      </w:r>
      <w:bookmarkStart w:id="20" w:name="_Hlk193645176"/>
      <w:r>
        <w:rPr>
          <w:b/>
        </w:rPr>
        <w:t>la mise à mort puis élimination des cadavres</w:t>
      </w:r>
      <w:bookmarkEnd w:id="20"/>
      <w:r>
        <w:t xml:space="preserve"> des animaux sensibles du foyer, et le nettoyage et la désinfection complet du site la mise sous surveillance des cheptels en lien épidémiologique, la définition d’une </w:t>
      </w:r>
      <w:r>
        <w:rPr>
          <w:b/>
        </w:rPr>
        <w:t>zone de protection</w:t>
      </w:r>
      <w:r>
        <w:t xml:space="preserve"> et d’une </w:t>
      </w:r>
      <w:r>
        <w:rPr>
          <w:b/>
        </w:rPr>
        <w:t>zone de surveillance</w:t>
      </w:r>
      <w:r>
        <w:t xml:space="preserve"> (rayons de </w:t>
      </w:r>
      <w:r>
        <w:rPr>
          <w:b/>
        </w:rPr>
        <w:t>20 km</w:t>
      </w:r>
      <w:r>
        <w:t xml:space="preserve"> et </w:t>
      </w:r>
      <w:r>
        <w:rPr>
          <w:b/>
        </w:rPr>
        <w:t>50 km</w:t>
      </w:r>
      <w:r>
        <w:t xml:space="preserve"> minimum), ces zones étant maintenues au moins 45 jours.  </w:t>
      </w:r>
    </w:p>
    <w:p w14:paraId="4C85A2DD" w14:textId="77777777" w:rsidR="00FB016D" w:rsidRDefault="00FB016D" w:rsidP="00FB016D"/>
    <w:p w14:paraId="3DC5E468" w14:textId="77777777" w:rsidR="00FB016D" w:rsidRDefault="00FB016D" w:rsidP="00FB016D">
      <w:r>
        <w:t xml:space="preserve">Le recours éventuel à la vaccination ne pourrait s’envisager qu’en </w:t>
      </w:r>
      <w:r>
        <w:rPr>
          <w:b/>
        </w:rPr>
        <w:t>complément</w:t>
      </w:r>
      <w:r>
        <w:t xml:space="preserve"> des </w:t>
      </w:r>
      <w:r>
        <w:rPr>
          <w:b/>
        </w:rPr>
        <w:t>mesures sanitaires</w:t>
      </w:r>
      <w:r>
        <w:t xml:space="preserve">. Cette décision serait prise en concertation avec la </w:t>
      </w:r>
      <w:r>
        <w:rPr>
          <w:b/>
        </w:rPr>
        <w:t>Commission Européenne</w:t>
      </w:r>
      <w:r>
        <w:t>.</w:t>
      </w:r>
    </w:p>
    <w:p w14:paraId="6BD847BD" w14:textId="77777777" w:rsidR="00FB016D" w:rsidRDefault="00FB016D" w:rsidP="00FB016D"/>
    <w:p w14:paraId="1A329385" w14:textId="77777777" w:rsidR="00FB016D" w:rsidRPr="00787802" w:rsidRDefault="00FB016D" w:rsidP="00787802">
      <w:pPr>
        <w:rPr>
          <w:sz w:val="8"/>
          <w:szCs w:val="8"/>
        </w:rPr>
      </w:pPr>
    </w:p>
    <w:sectPr w:rsidR="00FB016D" w:rsidRPr="00787802" w:rsidSect="00CD4C14">
      <w:pgSz w:w="6237" w:h="11907" w:code="11"/>
      <w:pgMar w:top="680"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E07C9" w14:textId="77777777" w:rsidR="00E843B3" w:rsidRDefault="00E843B3" w:rsidP="00546D71">
      <w:r>
        <w:separator/>
      </w:r>
    </w:p>
  </w:endnote>
  <w:endnote w:type="continuationSeparator" w:id="0">
    <w:p w14:paraId="7398C436" w14:textId="77777777" w:rsidR="00E843B3" w:rsidRDefault="00E843B3" w:rsidP="00546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anne">
    <w:panose1 w:val="02000000000000000000"/>
    <w:charset w:val="00"/>
    <w:family w:val="auto"/>
    <w:pitch w:val="variable"/>
    <w:sig w:usb0="0000000F"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Marianne ExtraBold">
    <w:panose1 w:val="02000000000000000000"/>
    <w:charset w:val="00"/>
    <w:family w:val="auto"/>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vantGardeITCbyBT-Demi">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sz w:val="12"/>
        <w:szCs w:val="12"/>
      </w:rPr>
      <w:id w:val="538866340"/>
      <w:docPartObj>
        <w:docPartGallery w:val="Page Numbers (Bottom of Page)"/>
        <w:docPartUnique/>
      </w:docPartObj>
    </w:sdtPr>
    <w:sdtEndPr>
      <w:rPr>
        <w:sz w:val="16"/>
        <w:szCs w:val="16"/>
      </w:rPr>
    </w:sdtEndPr>
    <w:sdtContent>
      <w:p w14:paraId="6C6D7F3B" w14:textId="77777777" w:rsidR="006665A5" w:rsidRDefault="006665A5" w:rsidP="00546D71">
        <w:pPr>
          <w:pStyle w:val="Pieddepage"/>
          <w:jc w:val="right"/>
          <w:rPr>
            <w:b/>
            <w:sz w:val="12"/>
            <w:szCs w:val="12"/>
          </w:rPr>
        </w:pPr>
      </w:p>
      <w:p w14:paraId="2256D24E" w14:textId="0421DCD9" w:rsidR="005E28A4" w:rsidRPr="00546D71" w:rsidRDefault="006665A5" w:rsidP="00546D71">
        <w:pPr>
          <w:pStyle w:val="Pieddepage"/>
          <w:jc w:val="right"/>
          <w:rPr>
            <w:b/>
            <w:sz w:val="16"/>
            <w:szCs w:val="16"/>
          </w:rPr>
        </w:pPr>
        <w:r w:rsidRPr="006665A5">
          <w:rPr>
            <w:b/>
            <w:sz w:val="12"/>
            <w:szCs w:val="12"/>
          </w:rPr>
          <w:t xml:space="preserve">GUIDE PRATIQUE DE DIAGNOSTIC ET DE GESTION DES ÉPIZOOTIES : </w:t>
        </w:r>
        <w:r w:rsidR="00565C0C">
          <w:rPr>
            <w:b/>
            <w:sz w:val="12"/>
            <w:szCs w:val="12"/>
          </w:rPr>
          <w:t>DNC</w:t>
        </w:r>
        <w:r>
          <w:rPr>
            <w:b/>
            <w:sz w:val="12"/>
            <w:szCs w:val="12"/>
          </w:rPr>
          <w:tab/>
        </w:r>
        <w:r w:rsidR="005E28A4" w:rsidRPr="006665A5">
          <w:rPr>
            <w:b/>
            <w:sz w:val="12"/>
            <w:szCs w:val="12"/>
          </w:rPr>
          <w:fldChar w:fldCharType="begin"/>
        </w:r>
        <w:r w:rsidR="005E28A4" w:rsidRPr="006665A5">
          <w:rPr>
            <w:b/>
            <w:sz w:val="12"/>
            <w:szCs w:val="12"/>
          </w:rPr>
          <w:instrText>PAGE   \* MERGEFORMAT</w:instrText>
        </w:r>
        <w:r w:rsidR="005E28A4" w:rsidRPr="006665A5">
          <w:rPr>
            <w:b/>
            <w:sz w:val="12"/>
            <w:szCs w:val="12"/>
          </w:rPr>
          <w:fldChar w:fldCharType="separate"/>
        </w:r>
        <w:r w:rsidR="003C2B37">
          <w:rPr>
            <w:b/>
            <w:noProof/>
            <w:sz w:val="12"/>
            <w:szCs w:val="12"/>
          </w:rPr>
          <w:t>6</w:t>
        </w:r>
        <w:r w:rsidR="005E28A4" w:rsidRPr="006665A5">
          <w:rPr>
            <w:b/>
            <w:sz w:val="12"/>
            <w:szCs w:val="1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D59D6" w14:textId="77777777" w:rsidR="00E843B3" w:rsidRDefault="00E843B3" w:rsidP="00546D71">
      <w:r>
        <w:separator/>
      </w:r>
    </w:p>
  </w:footnote>
  <w:footnote w:type="continuationSeparator" w:id="0">
    <w:p w14:paraId="31F0E660" w14:textId="77777777" w:rsidR="00E843B3" w:rsidRDefault="00E843B3" w:rsidP="00546D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73551"/>
    <w:multiLevelType w:val="hybridMultilevel"/>
    <w:tmpl w:val="57607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DA26D0"/>
    <w:multiLevelType w:val="multilevel"/>
    <w:tmpl w:val="4F54CEC4"/>
    <w:lvl w:ilvl="0">
      <w:start w:val="4"/>
      <w:numFmt w:val="bullet"/>
      <w:lvlText w:val="•"/>
      <w:lvlJc w:val="left"/>
      <w:pPr>
        <w:ind w:left="360" w:hanging="360"/>
      </w:pPr>
      <w:rPr>
        <w:rFonts w:ascii="Marianne" w:eastAsiaTheme="minorHAnsi" w:hAnsi="Mariann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422C1F"/>
    <w:multiLevelType w:val="hybridMultilevel"/>
    <w:tmpl w:val="AE649D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9D7988"/>
    <w:multiLevelType w:val="hybridMultilevel"/>
    <w:tmpl w:val="E32A65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4B5218"/>
    <w:multiLevelType w:val="multilevel"/>
    <w:tmpl w:val="32B84934"/>
    <w:lvl w:ilvl="0">
      <w:start w:val="4"/>
      <w:numFmt w:val="bullet"/>
      <w:lvlText w:val="•"/>
      <w:lvlJc w:val="left"/>
      <w:pPr>
        <w:ind w:left="360" w:hanging="360"/>
      </w:pPr>
      <w:rPr>
        <w:rFonts w:ascii="Marianne" w:eastAsiaTheme="minorHAnsi" w:hAnsi="Mariann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8E1701"/>
    <w:multiLevelType w:val="multilevel"/>
    <w:tmpl w:val="6D769F7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5AE3B43"/>
    <w:multiLevelType w:val="multilevel"/>
    <w:tmpl w:val="5AAE55E8"/>
    <w:lvl w:ilvl="0">
      <w:numFmt w:val="bullet"/>
      <w:lvlText w:val="-"/>
      <w:lvlJc w:val="left"/>
      <w:pPr>
        <w:ind w:left="720" w:hanging="360"/>
      </w:pPr>
      <w:rPr>
        <w:rFonts w:ascii="Marianne" w:eastAsiaTheme="minorHAnsi" w:hAnsi="Mariann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3F90426"/>
    <w:multiLevelType w:val="hybridMultilevel"/>
    <w:tmpl w:val="779C0AB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357343BC"/>
    <w:multiLevelType w:val="multilevel"/>
    <w:tmpl w:val="7F44E4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ADB2D50"/>
    <w:multiLevelType w:val="multilevel"/>
    <w:tmpl w:val="064A88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E0348B1"/>
    <w:multiLevelType w:val="multilevel"/>
    <w:tmpl w:val="097420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07F1104"/>
    <w:multiLevelType w:val="multilevel"/>
    <w:tmpl w:val="FE9C2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237A56"/>
    <w:multiLevelType w:val="multilevel"/>
    <w:tmpl w:val="0CD236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AEA3C66"/>
    <w:multiLevelType w:val="multilevel"/>
    <w:tmpl w:val="8EDC33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B7F7FCC"/>
    <w:multiLevelType w:val="multilevel"/>
    <w:tmpl w:val="EEFA90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AA6CCE"/>
    <w:multiLevelType w:val="multilevel"/>
    <w:tmpl w:val="F0F47AE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6B23DA2"/>
    <w:multiLevelType w:val="multilevel"/>
    <w:tmpl w:val="6F20965C"/>
    <w:lvl w:ilvl="0">
      <w:start w:val="4"/>
      <w:numFmt w:val="bullet"/>
      <w:lvlText w:val="•"/>
      <w:lvlJc w:val="left"/>
      <w:pPr>
        <w:ind w:left="360" w:hanging="360"/>
      </w:pPr>
      <w:rPr>
        <w:rFonts w:ascii="Marianne" w:eastAsiaTheme="minorHAnsi" w:hAnsi="Mariann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6F41B08"/>
    <w:multiLevelType w:val="multilevel"/>
    <w:tmpl w:val="6F8606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A9604BF"/>
    <w:multiLevelType w:val="multilevel"/>
    <w:tmpl w:val="A04023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1C643A8"/>
    <w:multiLevelType w:val="multilevel"/>
    <w:tmpl w:val="99C48878"/>
    <w:lvl w:ilvl="0">
      <w:start w:val="4"/>
      <w:numFmt w:val="bullet"/>
      <w:lvlText w:val="•"/>
      <w:lvlJc w:val="left"/>
      <w:pPr>
        <w:ind w:left="360" w:hanging="360"/>
      </w:pPr>
      <w:rPr>
        <w:rFonts w:ascii="Marianne" w:eastAsiaTheme="minorHAnsi" w:hAnsi="Marianne"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64182777"/>
    <w:multiLevelType w:val="hybridMultilevel"/>
    <w:tmpl w:val="617C2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CE67F0F"/>
    <w:multiLevelType w:val="multilevel"/>
    <w:tmpl w:val="7260374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75C01B7F"/>
    <w:multiLevelType w:val="multilevel"/>
    <w:tmpl w:val="0B701A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CC15329"/>
    <w:multiLevelType w:val="multilevel"/>
    <w:tmpl w:val="0AEEA0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F412FBC"/>
    <w:multiLevelType w:val="multilevel"/>
    <w:tmpl w:val="E6E0CF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0"/>
  </w:num>
  <w:num w:numId="4">
    <w:abstractNumId w:val="15"/>
  </w:num>
  <w:num w:numId="5">
    <w:abstractNumId w:val="13"/>
  </w:num>
  <w:num w:numId="6">
    <w:abstractNumId w:val="12"/>
  </w:num>
  <w:num w:numId="7">
    <w:abstractNumId w:val="4"/>
  </w:num>
  <w:num w:numId="8">
    <w:abstractNumId w:val="23"/>
  </w:num>
  <w:num w:numId="9">
    <w:abstractNumId w:val="22"/>
  </w:num>
  <w:num w:numId="10">
    <w:abstractNumId w:val="8"/>
  </w:num>
  <w:num w:numId="11">
    <w:abstractNumId w:val="18"/>
  </w:num>
  <w:num w:numId="12">
    <w:abstractNumId w:val="5"/>
  </w:num>
  <w:num w:numId="13">
    <w:abstractNumId w:val="21"/>
  </w:num>
  <w:num w:numId="14">
    <w:abstractNumId w:val="17"/>
  </w:num>
  <w:num w:numId="15">
    <w:abstractNumId w:val="9"/>
  </w:num>
  <w:num w:numId="16">
    <w:abstractNumId w:val="19"/>
  </w:num>
  <w:num w:numId="17">
    <w:abstractNumId w:val="6"/>
  </w:num>
  <w:num w:numId="18">
    <w:abstractNumId w:val="7"/>
  </w:num>
  <w:num w:numId="19">
    <w:abstractNumId w:val="0"/>
  </w:num>
  <w:num w:numId="20">
    <w:abstractNumId w:val="2"/>
  </w:num>
  <w:num w:numId="21">
    <w:abstractNumId w:val="3"/>
  </w:num>
  <w:num w:numId="22">
    <w:abstractNumId w:val="1"/>
  </w:num>
  <w:num w:numId="23">
    <w:abstractNumId w:val="16"/>
  </w:num>
  <w:num w:numId="24">
    <w:abstractNumId w:val="24"/>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B68"/>
    <w:rsid w:val="00002029"/>
    <w:rsid w:val="000447EF"/>
    <w:rsid w:val="00045C86"/>
    <w:rsid w:val="000464C9"/>
    <w:rsid w:val="0005609E"/>
    <w:rsid w:val="000914BB"/>
    <w:rsid w:val="0009587E"/>
    <w:rsid w:val="000A4C9A"/>
    <w:rsid w:val="000B337D"/>
    <w:rsid w:val="000C350F"/>
    <w:rsid w:val="000E3C84"/>
    <w:rsid w:val="00133055"/>
    <w:rsid w:val="00162B6A"/>
    <w:rsid w:val="00166265"/>
    <w:rsid w:val="001B04D8"/>
    <w:rsid w:val="001C39B9"/>
    <w:rsid w:val="001C77A2"/>
    <w:rsid w:val="001D2E45"/>
    <w:rsid w:val="001E5C08"/>
    <w:rsid w:val="002267A2"/>
    <w:rsid w:val="002310C5"/>
    <w:rsid w:val="00250ACE"/>
    <w:rsid w:val="00264297"/>
    <w:rsid w:val="00293007"/>
    <w:rsid w:val="002A094E"/>
    <w:rsid w:val="002B01EB"/>
    <w:rsid w:val="002F3685"/>
    <w:rsid w:val="0030191C"/>
    <w:rsid w:val="00314D4D"/>
    <w:rsid w:val="00323E96"/>
    <w:rsid w:val="00331241"/>
    <w:rsid w:val="00336D7A"/>
    <w:rsid w:val="00347138"/>
    <w:rsid w:val="00381242"/>
    <w:rsid w:val="00382080"/>
    <w:rsid w:val="003C2B37"/>
    <w:rsid w:val="003F1482"/>
    <w:rsid w:val="003F3450"/>
    <w:rsid w:val="00406EB0"/>
    <w:rsid w:val="004201B0"/>
    <w:rsid w:val="0042278F"/>
    <w:rsid w:val="00435F46"/>
    <w:rsid w:val="00446657"/>
    <w:rsid w:val="00465647"/>
    <w:rsid w:val="00476DAA"/>
    <w:rsid w:val="004C776B"/>
    <w:rsid w:val="00502710"/>
    <w:rsid w:val="00507237"/>
    <w:rsid w:val="0054376A"/>
    <w:rsid w:val="00545172"/>
    <w:rsid w:val="00546D71"/>
    <w:rsid w:val="0055511D"/>
    <w:rsid w:val="00565C0C"/>
    <w:rsid w:val="0059564A"/>
    <w:rsid w:val="005C347C"/>
    <w:rsid w:val="005C509F"/>
    <w:rsid w:val="005D091C"/>
    <w:rsid w:val="005E28A4"/>
    <w:rsid w:val="005F0BB4"/>
    <w:rsid w:val="005F2175"/>
    <w:rsid w:val="005F50A2"/>
    <w:rsid w:val="006003D7"/>
    <w:rsid w:val="00604E26"/>
    <w:rsid w:val="00613256"/>
    <w:rsid w:val="00627017"/>
    <w:rsid w:val="00651A37"/>
    <w:rsid w:val="006665A5"/>
    <w:rsid w:val="006759C7"/>
    <w:rsid w:val="00677F07"/>
    <w:rsid w:val="006A1F6F"/>
    <w:rsid w:val="006A48B4"/>
    <w:rsid w:val="006C0958"/>
    <w:rsid w:val="006D7EDF"/>
    <w:rsid w:val="006F0966"/>
    <w:rsid w:val="0070153B"/>
    <w:rsid w:val="00703A73"/>
    <w:rsid w:val="007113D7"/>
    <w:rsid w:val="00715E14"/>
    <w:rsid w:val="0075274E"/>
    <w:rsid w:val="00762D91"/>
    <w:rsid w:val="007712B1"/>
    <w:rsid w:val="00787802"/>
    <w:rsid w:val="007C3917"/>
    <w:rsid w:val="007C3C8E"/>
    <w:rsid w:val="007D4577"/>
    <w:rsid w:val="0080225B"/>
    <w:rsid w:val="008103FB"/>
    <w:rsid w:val="00812979"/>
    <w:rsid w:val="00827F3D"/>
    <w:rsid w:val="00835F88"/>
    <w:rsid w:val="0084436C"/>
    <w:rsid w:val="0085359D"/>
    <w:rsid w:val="00857274"/>
    <w:rsid w:val="00865500"/>
    <w:rsid w:val="0086652B"/>
    <w:rsid w:val="00883B38"/>
    <w:rsid w:val="008877A9"/>
    <w:rsid w:val="008972DA"/>
    <w:rsid w:val="008E7417"/>
    <w:rsid w:val="009125C6"/>
    <w:rsid w:val="00955162"/>
    <w:rsid w:val="00955C12"/>
    <w:rsid w:val="00973435"/>
    <w:rsid w:val="009A109C"/>
    <w:rsid w:val="009B1179"/>
    <w:rsid w:val="009B6C48"/>
    <w:rsid w:val="009C744B"/>
    <w:rsid w:val="009D227C"/>
    <w:rsid w:val="009F3BA3"/>
    <w:rsid w:val="00A33649"/>
    <w:rsid w:val="00A378F5"/>
    <w:rsid w:val="00A549F2"/>
    <w:rsid w:val="00A819D4"/>
    <w:rsid w:val="00A87C62"/>
    <w:rsid w:val="00AA3023"/>
    <w:rsid w:val="00AD36E9"/>
    <w:rsid w:val="00AF0309"/>
    <w:rsid w:val="00B13062"/>
    <w:rsid w:val="00B21213"/>
    <w:rsid w:val="00B27F91"/>
    <w:rsid w:val="00BD6FDD"/>
    <w:rsid w:val="00BF2408"/>
    <w:rsid w:val="00BF52B0"/>
    <w:rsid w:val="00C2514D"/>
    <w:rsid w:val="00C30A9B"/>
    <w:rsid w:val="00C87D26"/>
    <w:rsid w:val="00CA7DF2"/>
    <w:rsid w:val="00CB1D6B"/>
    <w:rsid w:val="00CD047E"/>
    <w:rsid w:val="00CD4C14"/>
    <w:rsid w:val="00CE47F7"/>
    <w:rsid w:val="00D06B65"/>
    <w:rsid w:val="00D07B7B"/>
    <w:rsid w:val="00D3085E"/>
    <w:rsid w:val="00D442D4"/>
    <w:rsid w:val="00D77C1D"/>
    <w:rsid w:val="00D816E2"/>
    <w:rsid w:val="00DA36B5"/>
    <w:rsid w:val="00DB0053"/>
    <w:rsid w:val="00DE140F"/>
    <w:rsid w:val="00DE1630"/>
    <w:rsid w:val="00DF117A"/>
    <w:rsid w:val="00E07382"/>
    <w:rsid w:val="00E07EA8"/>
    <w:rsid w:val="00E16C98"/>
    <w:rsid w:val="00E24B61"/>
    <w:rsid w:val="00E33191"/>
    <w:rsid w:val="00E45896"/>
    <w:rsid w:val="00E47B68"/>
    <w:rsid w:val="00E50CB9"/>
    <w:rsid w:val="00E604E2"/>
    <w:rsid w:val="00E843B3"/>
    <w:rsid w:val="00E93197"/>
    <w:rsid w:val="00EC4F21"/>
    <w:rsid w:val="00EC60F8"/>
    <w:rsid w:val="00EF194C"/>
    <w:rsid w:val="00F354A4"/>
    <w:rsid w:val="00F859CE"/>
    <w:rsid w:val="00FB016D"/>
    <w:rsid w:val="00FE20DF"/>
    <w:rsid w:val="00FE44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4FB0E"/>
  <w15:chartTrackingRefBased/>
  <w15:docId w15:val="{218A69AA-06A3-4150-AF5F-9EAE27A0A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D71"/>
    <w:pPr>
      <w:spacing w:line="240" w:lineRule="auto"/>
      <w:jc w:val="both"/>
    </w:pPr>
    <w:rPr>
      <w:rFonts w:ascii="Marianne" w:hAnsi="Marianne"/>
      <w:w w:val="80"/>
    </w:rPr>
  </w:style>
  <w:style w:type="paragraph" w:styleId="Titre1">
    <w:name w:val="heading 1"/>
    <w:basedOn w:val="Normal"/>
    <w:next w:val="Normal"/>
    <w:link w:val="Titre1Car"/>
    <w:uiPriority w:val="9"/>
    <w:qFormat/>
    <w:rsid w:val="00AA3023"/>
    <w:pPr>
      <w:keepNext/>
      <w:keepLines/>
      <w:spacing w:before="240" w:after="0"/>
      <w:outlineLvl w:val="0"/>
    </w:pPr>
    <w:rPr>
      <w:rFonts w:eastAsiaTheme="majorEastAsia" w:cstheme="majorBidi"/>
      <w:b/>
      <w:color w:val="2E74B5" w:themeColor="accent1" w:themeShade="BF"/>
      <w:sz w:val="32"/>
      <w:szCs w:val="32"/>
    </w:rPr>
  </w:style>
  <w:style w:type="paragraph" w:styleId="Titre2">
    <w:name w:val="heading 2"/>
    <w:basedOn w:val="Normal"/>
    <w:next w:val="Normal"/>
    <w:link w:val="Titre2Car"/>
    <w:uiPriority w:val="9"/>
    <w:unhideWhenUsed/>
    <w:qFormat/>
    <w:rsid w:val="00A87C62"/>
    <w:pPr>
      <w:keepNext/>
      <w:keepLines/>
      <w:spacing w:before="40" w:after="0"/>
      <w:ind w:left="-284"/>
      <w:outlineLvl w:val="1"/>
    </w:pPr>
    <w:rPr>
      <w:rFonts w:ascii="Marianne ExtraBold" w:eastAsiaTheme="majorEastAsia" w:hAnsi="Marianne ExtraBold" w:cstheme="majorBidi"/>
      <w:b/>
      <w:color w:val="2E74B5" w:themeColor="accent1" w:themeShade="BF"/>
      <w:sz w:val="26"/>
      <w:szCs w:val="26"/>
    </w:rPr>
  </w:style>
  <w:style w:type="paragraph" w:styleId="Titre3">
    <w:name w:val="heading 3"/>
    <w:basedOn w:val="Normal"/>
    <w:next w:val="Normal"/>
    <w:link w:val="Titre3Car"/>
    <w:uiPriority w:val="9"/>
    <w:unhideWhenUsed/>
    <w:qFormat/>
    <w:rsid w:val="00AA3023"/>
    <w:pPr>
      <w:keepNext/>
      <w:keepLines/>
      <w:spacing w:before="40" w:after="0"/>
      <w:outlineLvl w:val="2"/>
    </w:pPr>
    <w:rPr>
      <w:rFonts w:eastAsiaTheme="majorEastAsia" w:cstheme="majorBidi"/>
      <w:b/>
      <w:color w:val="000000" w:themeColor="text1"/>
      <w:sz w:val="24"/>
      <w:szCs w:val="24"/>
    </w:rPr>
  </w:style>
  <w:style w:type="paragraph" w:styleId="Titre4">
    <w:name w:val="heading 4"/>
    <w:basedOn w:val="Normal"/>
    <w:next w:val="Normal"/>
    <w:link w:val="Titre4Car"/>
    <w:uiPriority w:val="9"/>
    <w:unhideWhenUsed/>
    <w:qFormat/>
    <w:rsid w:val="0054376A"/>
    <w:pPr>
      <w:keepNext/>
      <w:keepLines/>
      <w:spacing w:before="40" w:after="0"/>
      <w:ind w:right="-1"/>
      <w:outlineLvl w:val="3"/>
    </w:pPr>
    <w:rPr>
      <w:rFonts w:eastAsiaTheme="majorEastAsia" w:cstheme="majorBidi"/>
      <w:i/>
      <w:iCs/>
      <w:color w:val="2E74B5" w:themeColor="accent1" w:themeShade="BF"/>
    </w:rPr>
  </w:style>
  <w:style w:type="paragraph" w:styleId="Titre5">
    <w:name w:val="heading 5"/>
    <w:basedOn w:val="Normal"/>
    <w:next w:val="Normal"/>
    <w:link w:val="Titre5Car"/>
    <w:uiPriority w:val="9"/>
    <w:unhideWhenUsed/>
    <w:qFormat/>
    <w:rsid w:val="0054376A"/>
    <w:pPr>
      <w:keepNext/>
      <w:keepLines/>
      <w:spacing w:before="40" w:after="0"/>
      <w:ind w:right="-1"/>
      <w:outlineLvl w:val="4"/>
    </w:pPr>
    <w:rPr>
      <w:rFonts w:eastAsiaTheme="majorEastAsia" w:cstheme="majorBidi"/>
      <w:color w:val="2E74B5" w:themeColor="accent1" w:themeShade="BF"/>
      <w:sz w:val="20"/>
      <w:szCs w:val="20"/>
    </w:rPr>
  </w:style>
  <w:style w:type="paragraph" w:styleId="Titre6">
    <w:name w:val="heading 6"/>
    <w:basedOn w:val="Normal"/>
    <w:next w:val="Normal"/>
    <w:link w:val="Titre6Car"/>
    <w:uiPriority w:val="9"/>
    <w:unhideWhenUsed/>
    <w:qFormat/>
    <w:rsid w:val="00A819D4"/>
    <w:pPr>
      <w:keepNext/>
      <w:keepLines/>
      <w:spacing w:before="40" w:after="0" w:line="259" w:lineRule="auto"/>
      <w:ind w:right="2976"/>
      <w:outlineLvl w:val="5"/>
    </w:pPr>
    <w:rPr>
      <w:rFonts w:ascii="Arial" w:eastAsia="Arial" w:hAnsi="Arial" w:cs="Arial"/>
      <w:i/>
      <w:iCs/>
      <w:color w:val="595959" w:themeColor="text1" w:themeTint="A6"/>
      <w:w w:val="100"/>
    </w:rPr>
  </w:style>
  <w:style w:type="paragraph" w:styleId="Titre7">
    <w:name w:val="heading 7"/>
    <w:basedOn w:val="Normal"/>
    <w:next w:val="Normal"/>
    <w:link w:val="Titre7Car"/>
    <w:uiPriority w:val="9"/>
    <w:unhideWhenUsed/>
    <w:qFormat/>
    <w:rsid w:val="00A819D4"/>
    <w:pPr>
      <w:keepNext/>
      <w:keepLines/>
      <w:spacing w:before="40" w:after="0" w:line="259" w:lineRule="auto"/>
      <w:ind w:right="2976"/>
      <w:outlineLvl w:val="6"/>
    </w:pPr>
    <w:rPr>
      <w:rFonts w:ascii="Arial" w:eastAsia="Arial" w:hAnsi="Arial" w:cs="Arial"/>
      <w:color w:val="595959" w:themeColor="text1" w:themeTint="A6"/>
      <w:w w:val="100"/>
    </w:rPr>
  </w:style>
  <w:style w:type="paragraph" w:styleId="Titre8">
    <w:name w:val="heading 8"/>
    <w:basedOn w:val="Normal"/>
    <w:next w:val="Normal"/>
    <w:link w:val="Titre8Car"/>
    <w:uiPriority w:val="9"/>
    <w:unhideWhenUsed/>
    <w:qFormat/>
    <w:rsid w:val="00A819D4"/>
    <w:pPr>
      <w:keepNext/>
      <w:keepLines/>
      <w:spacing w:after="0" w:line="259" w:lineRule="auto"/>
      <w:ind w:right="2976"/>
      <w:outlineLvl w:val="7"/>
    </w:pPr>
    <w:rPr>
      <w:rFonts w:ascii="Arial" w:eastAsia="Arial" w:hAnsi="Arial" w:cs="Arial"/>
      <w:i/>
      <w:iCs/>
      <w:color w:val="272727" w:themeColor="text1" w:themeTint="D8"/>
      <w:w w:val="100"/>
    </w:rPr>
  </w:style>
  <w:style w:type="paragraph" w:styleId="Titre9">
    <w:name w:val="heading 9"/>
    <w:basedOn w:val="Normal"/>
    <w:next w:val="Normal"/>
    <w:link w:val="Titre9Car"/>
    <w:uiPriority w:val="9"/>
    <w:unhideWhenUsed/>
    <w:qFormat/>
    <w:rsid w:val="00A819D4"/>
    <w:pPr>
      <w:keepNext/>
      <w:keepLines/>
      <w:spacing w:after="0" w:line="259" w:lineRule="auto"/>
      <w:ind w:right="2976"/>
      <w:outlineLvl w:val="8"/>
    </w:pPr>
    <w:rPr>
      <w:rFonts w:ascii="Arial" w:eastAsia="Arial" w:hAnsi="Arial" w:cs="Arial"/>
      <w:i/>
      <w:iCs/>
      <w:color w:val="272727" w:themeColor="text1" w:themeTint="D8"/>
      <w:w w:val="1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ableParagraph">
    <w:name w:val="Table Paragraph"/>
    <w:basedOn w:val="Normal"/>
    <w:uiPriority w:val="1"/>
    <w:qFormat/>
    <w:rsid w:val="00E47B68"/>
    <w:pPr>
      <w:widowControl w:val="0"/>
      <w:autoSpaceDE w:val="0"/>
      <w:autoSpaceDN w:val="0"/>
      <w:spacing w:after="0"/>
    </w:pPr>
    <w:rPr>
      <w:rFonts w:eastAsia="Arial MT" w:cs="Arial MT"/>
    </w:rPr>
  </w:style>
  <w:style w:type="character" w:customStyle="1" w:styleId="Titre1Car">
    <w:name w:val="Titre 1 Car"/>
    <w:basedOn w:val="Policepardfaut"/>
    <w:link w:val="Titre1"/>
    <w:uiPriority w:val="9"/>
    <w:rsid w:val="00AA3023"/>
    <w:rPr>
      <w:rFonts w:ascii="Marianne" w:eastAsiaTheme="majorEastAsia" w:hAnsi="Marianne" w:cstheme="majorBidi"/>
      <w:b/>
      <w:color w:val="2E74B5" w:themeColor="accent1" w:themeShade="BF"/>
      <w:sz w:val="32"/>
      <w:szCs w:val="32"/>
    </w:rPr>
  </w:style>
  <w:style w:type="character" w:customStyle="1" w:styleId="Titre2Car">
    <w:name w:val="Titre 2 Car"/>
    <w:basedOn w:val="Policepardfaut"/>
    <w:link w:val="Titre2"/>
    <w:uiPriority w:val="9"/>
    <w:rsid w:val="00A87C62"/>
    <w:rPr>
      <w:rFonts w:ascii="Marianne ExtraBold" w:eastAsiaTheme="majorEastAsia" w:hAnsi="Marianne ExtraBold" w:cstheme="majorBidi"/>
      <w:b/>
      <w:color w:val="2E74B5" w:themeColor="accent1" w:themeShade="BF"/>
      <w:w w:val="80"/>
      <w:sz w:val="26"/>
      <w:szCs w:val="26"/>
    </w:rPr>
  </w:style>
  <w:style w:type="character" w:customStyle="1" w:styleId="Titre3Car">
    <w:name w:val="Titre 3 Car"/>
    <w:basedOn w:val="Policepardfaut"/>
    <w:link w:val="Titre3"/>
    <w:uiPriority w:val="9"/>
    <w:rsid w:val="00AA3023"/>
    <w:rPr>
      <w:rFonts w:ascii="Marianne" w:eastAsiaTheme="majorEastAsia" w:hAnsi="Marianne" w:cstheme="majorBidi"/>
      <w:b/>
      <w:color w:val="000000" w:themeColor="text1"/>
      <w:sz w:val="24"/>
      <w:szCs w:val="24"/>
    </w:rPr>
  </w:style>
  <w:style w:type="character" w:customStyle="1" w:styleId="Titre4Car">
    <w:name w:val="Titre 4 Car"/>
    <w:basedOn w:val="Policepardfaut"/>
    <w:link w:val="Titre4"/>
    <w:uiPriority w:val="9"/>
    <w:rsid w:val="0054376A"/>
    <w:rPr>
      <w:rFonts w:ascii="Marianne" w:eastAsiaTheme="majorEastAsia" w:hAnsi="Marianne" w:cstheme="majorBidi"/>
      <w:i/>
      <w:iCs/>
      <w:color w:val="2E74B5" w:themeColor="accent1" w:themeShade="BF"/>
      <w:w w:val="80"/>
    </w:rPr>
  </w:style>
  <w:style w:type="paragraph" w:styleId="Lgende">
    <w:name w:val="caption"/>
    <w:basedOn w:val="Normal"/>
    <w:next w:val="Normal"/>
    <w:uiPriority w:val="35"/>
    <w:unhideWhenUsed/>
    <w:qFormat/>
    <w:rsid w:val="00045C86"/>
    <w:pPr>
      <w:spacing w:after="200"/>
      <w:jc w:val="center"/>
    </w:pPr>
    <w:rPr>
      <w:i/>
      <w:iCs/>
      <w:color w:val="44546A" w:themeColor="text2"/>
      <w:sz w:val="18"/>
      <w:szCs w:val="18"/>
    </w:rPr>
  </w:style>
  <w:style w:type="character" w:styleId="Marquedecommentaire">
    <w:name w:val="annotation reference"/>
    <w:basedOn w:val="Policepardfaut"/>
    <w:uiPriority w:val="99"/>
    <w:semiHidden/>
    <w:unhideWhenUsed/>
    <w:rsid w:val="000E3C84"/>
    <w:rPr>
      <w:sz w:val="16"/>
      <w:szCs w:val="16"/>
    </w:rPr>
  </w:style>
  <w:style w:type="paragraph" w:styleId="Commentaire">
    <w:name w:val="annotation text"/>
    <w:basedOn w:val="Normal"/>
    <w:link w:val="CommentaireCar"/>
    <w:uiPriority w:val="99"/>
    <w:unhideWhenUsed/>
    <w:rsid w:val="000E3C84"/>
    <w:rPr>
      <w:sz w:val="20"/>
      <w:szCs w:val="20"/>
    </w:rPr>
  </w:style>
  <w:style w:type="character" w:customStyle="1" w:styleId="CommentaireCar">
    <w:name w:val="Commentaire Car"/>
    <w:basedOn w:val="Policepardfaut"/>
    <w:link w:val="Commentaire"/>
    <w:uiPriority w:val="99"/>
    <w:rsid w:val="000E3C84"/>
    <w:rPr>
      <w:sz w:val="20"/>
      <w:szCs w:val="20"/>
    </w:rPr>
  </w:style>
  <w:style w:type="paragraph" w:styleId="Objetducommentaire">
    <w:name w:val="annotation subject"/>
    <w:basedOn w:val="Commentaire"/>
    <w:next w:val="Commentaire"/>
    <w:link w:val="ObjetducommentaireCar"/>
    <w:uiPriority w:val="99"/>
    <w:semiHidden/>
    <w:unhideWhenUsed/>
    <w:rsid w:val="000E3C84"/>
    <w:rPr>
      <w:b/>
      <w:bCs/>
    </w:rPr>
  </w:style>
  <w:style w:type="character" w:customStyle="1" w:styleId="ObjetducommentaireCar">
    <w:name w:val="Objet du commentaire Car"/>
    <w:basedOn w:val="CommentaireCar"/>
    <w:link w:val="Objetducommentaire"/>
    <w:uiPriority w:val="99"/>
    <w:semiHidden/>
    <w:rsid w:val="000E3C84"/>
    <w:rPr>
      <w:b/>
      <w:bCs/>
      <w:sz w:val="20"/>
      <w:szCs w:val="20"/>
    </w:rPr>
  </w:style>
  <w:style w:type="paragraph" w:styleId="Textedebulles">
    <w:name w:val="Balloon Text"/>
    <w:basedOn w:val="Normal"/>
    <w:link w:val="TextedebullesCar"/>
    <w:uiPriority w:val="99"/>
    <w:semiHidden/>
    <w:unhideWhenUsed/>
    <w:rsid w:val="000E3C84"/>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E3C84"/>
    <w:rPr>
      <w:rFonts w:ascii="Segoe UI" w:hAnsi="Segoe UI" w:cs="Segoe UI"/>
      <w:sz w:val="18"/>
      <w:szCs w:val="18"/>
    </w:rPr>
  </w:style>
  <w:style w:type="table" w:styleId="Grilledutableau">
    <w:name w:val="Table Grid"/>
    <w:basedOn w:val="TableauNormal"/>
    <w:uiPriority w:val="59"/>
    <w:rsid w:val="00250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5E28A4"/>
    <w:pPr>
      <w:tabs>
        <w:tab w:val="center" w:pos="4536"/>
        <w:tab w:val="right" w:pos="9072"/>
      </w:tabs>
      <w:spacing w:after="0"/>
    </w:pPr>
  </w:style>
  <w:style w:type="character" w:customStyle="1" w:styleId="En-tteCar">
    <w:name w:val="En-tête Car"/>
    <w:basedOn w:val="Policepardfaut"/>
    <w:link w:val="En-tte"/>
    <w:uiPriority w:val="99"/>
    <w:rsid w:val="005E28A4"/>
    <w:rPr>
      <w:rFonts w:ascii="Marianne" w:hAnsi="Marianne"/>
    </w:rPr>
  </w:style>
  <w:style w:type="paragraph" w:styleId="Pieddepage">
    <w:name w:val="footer"/>
    <w:basedOn w:val="Normal"/>
    <w:link w:val="PieddepageCar"/>
    <w:uiPriority w:val="99"/>
    <w:unhideWhenUsed/>
    <w:rsid w:val="005E28A4"/>
    <w:pPr>
      <w:tabs>
        <w:tab w:val="center" w:pos="4536"/>
        <w:tab w:val="right" w:pos="9072"/>
      </w:tabs>
      <w:spacing w:after="0"/>
    </w:pPr>
  </w:style>
  <w:style w:type="character" w:customStyle="1" w:styleId="PieddepageCar">
    <w:name w:val="Pied de page Car"/>
    <w:basedOn w:val="Policepardfaut"/>
    <w:link w:val="Pieddepage"/>
    <w:uiPriority w:val="99"/>
    <w:rsid w:val="005E28A4"/>
    <w:rPr>
      <w:rFonts w:ascii="Marianne" w:hAnsi="Marianne"/>
    </w:rPr>
  </w:style>
  <w:style w:type="paragraph" w:styleId="Corpsdetexte">
    <w:name w:val="Body Text"/>
    <w:basedOn w:val="Normal"/>
    <w:link w:val="CorpsdetexteCar"/>
    <w:uiPriority w:val="1"/>
    <w:qFormat/>
    <w:rsid w:val="006F0966"/>
    <w:pPr>
      <w:widowControl w:val="0"/>
      <w:autoSpaceDE w:val="0"/>
      <w:autoSpaceDN w:val="0"/>
      <w:spacing w:after="0"/>
      <w:jc w:val="left"/>
    </w:pPr>
    <w:rPr>
      <w:rFonts w:ascii="Arial" w:eastAsia="Arial" w:hAnsi="Arial" w:cs="Arial"/>
      <w:i/>
      <w:iCs/>
      <w:w w:val="100"/>
      <w:sz w:val="18"/>
      <w:szCs w:val="18"/>
    </w:rPr>
  </w:style>
  <w:style w:type="character" w:customStyle="1" w:styleId="CorpsdetexteCar">
    <w:name w:val="Corps de texte Car"/>
    <w:basedOn w:val="Policepardfaut"/>
    <w:link w:val="Corpsdetexte"/>
    <w:uiPriority w:val="1"/>
    <w:rsid w:val="006F0966"/>
    <w:rPr>
      <w:rFonts w:ascii="Arial" w:eastAsia="Arial" w:hAnsi="Arial" w:cs="Arial"/>
      <w:i/>
      <w:iCs/>
      <w:sz w:val="18"/>
      <w:szCs w:val="18"/>
    </w:rPr>
  </w:style>
  <w:style w:type="character" w:customStyle="1" w:styleId="Titre5Car">
    <w:name w:val="Titre 5 Car"/>
    <w:basedOn w:val="Policepardfaut"/>
    <w:link w:val="Titre5"/>
    <w:uiPriority w:val="9"/>
    <w:rsid w:val="0054376A"/>
    <w:rPr>
      <w:rFonts w:ascii="Marianne" w:eastAsiaTheme="majorEastAsia" w:hAnsi="Marianne" w:cstheme="majorBidi"/>
      <w:color w:val="2E74B5" w:themeColor="accent1" w:themeShade="BF"/>
      <w:w w:val="80"/>
      <w:sz w:val="20"/>
      <w:szCs w:val="20"/>
    </w:rPr>
  </w:style>
  <w:style w:type="paragraph" w:styleId="Paragraphedeliste">
    <w:name w:val="List Paragraph"/>
    <w:basedOn w:val="Normal"/>
    <w:uiPriority w:val="34"/>
    <w:qFormat/>
    <w:rsid w:val="00E07382"/>
    <w:pPr>
      <w:spacing w:line="259" w:lineRule="auto"/>
      <w:ind w:left="720" w:right="2976"/>
      <w:contextualSpacing/>
    </w:pPr>
    <w:rPr>
      <w:w w:val="100"/>
    </w:rPr>
  </w:style>
  <w:style w:type="character" w:customStyle="1" w:styleId="Titre6Car">
    <w:name w:val="Titre 6 Car"/>
    <w:basedOn w:val="Policepardfaut"/>
    <w:link w:val="Titre6"/>
    <w:uiPriority w:val="9"/>
    <w:rsid w:val="00A819D4"/>
    <w:rPr>
      <w:rFonts w:ascii="Arial" w:eastAsia="Arial" w:hAnsi="Arial" w:cs="Arial"/>
      <w:i/>
      <w:iCs/>
      <w:color w:val="595959" w:themeColor="text1" w:themeTint="A6"/>
    </w:rPr>
  </w:style>
  <w:style w:type="character" w:customStyle="1" w:styleId="Titre7Car">
    <w:name w:val="Titre 7 Car"/>
    <w:basedOn w:val="Policepardfaut"/>
    <w:link w:val="Titre7"/>
    <w:uiPriority w:val="9"/>
    <w:rsid w:val="00A819D4"/>
    <w:rPr>
      <w:rFonts w:ascii="Arial" w:eastAsia="Arial" w:hAnsi="Arial" w:cs="Arial"/>
      <w:color w:val="595959" w:themeColor="text1" w:themeTint="A6"/>
    </w:rPr>
  </w:style>
  <w:style w:type="character" w:customStyle="1" w:styleId="Titre8Car">
    <w:name w:val="Titre 8 Car"/>
    <w:basedOn w:val="Policepardfaut"/>
    <w:link w:val="Titre8"/>
    <w:uiPriority w:val="9"/>
    <w:rsid w:val="00A819D4"/>
    <w:rPr>
      <w:rFonts w:ascii="Arial" w:eastAsia="Arial" w:hAnsi="Arial" w:cs="Arial"/>
      <w:i/>
      <w:iCs/>
      <w:color w:val="272727" w:themeColor="text1" w:themeTint="D8"/>
    </w:rPr>
  </w:style>
  <w:style w:type="character" w:customStyle="1" w:styleId="Titre9Car">
    <w:name w:val="Titre 9 Car"/>
    <w:basedOn w:val="Policepardfaut"/>
    <w:link w:val="Titre9"/>
    <w:uiPriority w:val="9"/>
    <w:rsid w:val="00A819D4"/>
    <w:rPr>
      <w:rFonts w:ascii="Arial" w:eastAsia="Arial" w:hAnsi="Arial" w:cs="Arial"/>
      <w:i/>
      <w:iCs/>
      <w:color w:val="272727" w:themeColor="text1" w:themeTint="D8"/>
    </w:rPr>
  </w:style>
  <w:style w:type="table" w:customStyle="1" w:styleId="TableGridLight">
    <w:name w:val="Table Grid Light"/>
    <w:basedOn w:val="TableauNormal"/>
    <w:uiPriority w:val="59"/>
    <w:rsid w:val="00A819D4"/>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rsid w:val="00A819D4"/>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rsid w:val="00A819D4"/>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rsid w:val="00A819D4"/>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rsid w:val="00A819D4"/>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rsid w:val="00A819D4"/>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rsid w:val="00A819D4"/>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rsid w:val="00A819D4"/>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rsid w:val="00A819D4"/>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rsid w:val="00A819D4"/>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rsid w:val="00A819D4"/>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rsid w:val="00A819D4"/>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rsid w:val="00A819D4"/>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rsid w:val="00A819D4"/>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rsid w:val="00A819D4"/>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rsid w:val="00A819D4"/>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rsid w:val="00A819D4"/>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rsid w:val="00A819D4"/>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rsid w:val="00A819D4"/>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rsid w:val="00A819D4"/>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rsid w:val="00A819D4"/>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rsid w:val="00A819D4"/>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rsid w:val="00A819D4"/>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rsid w:val="00A819D4"/>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rsid w:val="00A819D4"/>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rsid w:val="00A819D4"/>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rsid w:val="00A819D4"/>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rsid w:val="00A819D4"/>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rsid w:val="00A819D4"/>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rsid w:val="00A819D4"/>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rsid w:val="00A819D4"/>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rsid w:val="00A819D4"/>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rsid w:val="00A819D4"/>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rsid w:val="00A819D4"/>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rsid w:val="00A819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rsid w:val="00A819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rsid w:val="00A819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rsid w:val="00A819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rsid w:val="00A819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rsid w:val="00A819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rsid w:val="00A819D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rsid w:val="00A819D4"/>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rsid w:val="00A819D4"/>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rsid w:val="00A819D4"/>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rsid w:val="00A819D4"/>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rsid w:val="00A819D4"/>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rsid w:val="00A819D4"/>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rsid w:val="00A819D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rsid w:val="00A819D4"/>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rsid w:val="00A819D4"/>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rsid w:val="00A819D4"/>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rsid w:val="00A819D4"/>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rsid w:val="00A819D4"/>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rsid w:val="00A819D4"/>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rsid w:val="00A819D4"/>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rsid w:val="00A819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rsid w:val="00A819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rsid w:val="00A819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rsid w:val="00A819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rsid w:val="00A819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rsid w:val="00A819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rsid w:val="00A819D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rsid w:val="00A819D4"/>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rsid w:val="00A819D4"/>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rsid w:val="00A819D4"/>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rsid w:val="00A819D4"/>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rsid w:val="00A819D4"/>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rsid w:val="00A819D4"/>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rsid w:val="00A819D4"/>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rsid w:val="00A819D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rsid w:val="00A819D4"/>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rsid w:val="00A819D4"/>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rsid w:val="00A819D4"/>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rsid w:val="00A819D4"/>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rsid w:val="00A819D4"/>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rsid w:val="00A819D4"/>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rsid w:val="00A819D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rsid w:val="00A819D4"/>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rsid w:val="00A819D4"/>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rsid w:val="00A819D4"/>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rsid w:val="00A819D4"/>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rsid w:val="00A819D4"/>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rsid w:val="00A819D4"/>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rsid w:val="00A819D4"/>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rsid w:val="00A819D4"/>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rsid w:val="00A819D4"/>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rsid w:val="00A819D4"/>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rsid w:val="00A819D4"/>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rsid w:val="00A819D4"/>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rsid w:val="00A819D4"/>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rsid w:val="00A819D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rsid w:val="00A819D4"/>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rsid w:val="00A819D4"/>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rsid w:val="00A819D4"/>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rsid w:val="00A819D4"/>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rsid w:val="00A819D4"/>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rsid w:val="00A819D4"/>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rsid w:val="00A819D4"/>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rsid w:val="00A819D4"/>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rsid w:val="00A819D4"/>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rsid w:val="00A819D4"/>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rsid w:val="00A819D4"/>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rsid w:val="00A819D4"/>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rsid w:val="00A819D4"/>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sid w:val="00A819D4"/>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sid w:val="00A819D4"/>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rsid w:val="00A819D4"/>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sid w:val="00A819D4"/>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sid w:val="00A819D4"/>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sid w:val="00A819D4"/>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rsid w:val="00A819D4"/>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sid w:val="00A819D4"/>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sid w:val="00A819D4"/>
    <w:pPr>
      <w:spacing w:after="0" w:line="240" w:lineRule="auto"/>
    </w:pPr>
    <w:rPr>
      <w:color w:val="404040"/>
      <w:sz w:val="20"/>
      <w:szCs w:val="20"/>
      <w:lang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rsid w:val="00A819D4"/>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sid w:val="00A819D4"/>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sid w:val="00A819D4"/>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sid w:val="00A819D4"/>
    <w:pPr>
      <w:spacing w:after="0" w:line="240" w:lineRule="auto"/>
    </w:pPr>
    <w:rPr>
      <w:color w:val="404040"/>
      <w:sz w:val="20"/>
      <w:szCs w:val="20"/>
      <w:lang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rsid w:val="00A819D4"/>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rsid w:val="00A819D4"/>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rsid w:val="00A819D4"/>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rsid w:val="00A819D4"/>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rsid w:val="00A819D4"/>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rsid w:val="00A819D4"/>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rsid w:val="00A819D4"/>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rsid w:val="00A819D4"/>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basedOn w:val="Policepardfaut"/>
    <w:uiPriority w:val="9"/>
    <w:rsid w:val="00A819D4"/>
    <w:rPr>
      <w:rFonts w:ascii="Arial" w:eastAsia="Arial" w:hAnsi="Arial" w:cs="Arial"/>
      <w:color w:val="2E74B5" w:themeColor="accent1" w:themeShade="BF"/>
      <w:sz w:val="40"/>
      <w:szCs w:val="40"/>
    </w:rPr>
  </w:style>
  <w:style w:type="character" w:customStyle="1" w:styleId="Heading2Char">
    <w:name w:val="Heading 2 Char"/>
    <w:basedOn w:val="Policepardfaut"/>
    <w:uiPriority w:val="9"/>
    <w:rsid w:val="00A819D4"/>
    <w:rPr>
      <w:rFonts w:ascii="Arial" w:eastAsia="Arial" w:hAnsi="Arial" w:cs="Arial"/>
      <w:color w:val="2E74B5" w:themeColor="accent1" w:themeShade="BF"/>
      <w:sz w:val="32"/>
      <w:szCs w:val="32"/>
    </w:rPr>
  </w:style>
  <w:style w:type="character" w:customStyle="1" w:styleId="Heading3Char">
    <w:name w:val="Heading 3 Char"/>
    <w:basedOn w:val="Policepardfaut"/>
    <w:uiPriority w:val="9"/>
    <w:rsid w:val="00A819D4"/>
    <w:rPr>
      <w:rFonts w:ascii="Arial" w:eastAsia="Arial" w:hAnsi="Arial" w:cs="Arial"/>
      <w:color w:val="2E74B5" w:themeColor="accent1" w:themeShade="BF"/>
      <w:sz w:val="28"/>
      <w:szCs w:val="28"/>
    </w:rPr>
  </w:style>
  <w:style w:type="character" w:customStyle="1" w:styleId="Heading4Char">
    <w:name w:val="Heading 4 Char"/>
    <w:basedOn w:val="Policepardfaut"/>
    <w:uiPriority w:val="9"/>
    <w:rsid w:val="00A819D4"/>
    <w:rPr>
      <w:rFonts w:ascii="Arial" w:eastAsia="Arial" w:hAnsi="Arial" w:cs="Arial"/>
      <w:i/>
      <w:iCs/>
      <w:color w:val="2E74B5" w:themeColor="accent1" w:themeShade="BF"/>
    </w:rPr>
  </w:style>
  <w:style w:type="paragraph" w:styleId="Titre">
    <w:name w:val="Title"/>
    <w:basedOn w:val="Normal"/>
    <w:next w:val="Normal"/>
    <w:link w:val="TitreCar"/>
    <w:uiPriority w:val="10"/>
    <w:qFormat/>
    <w:rsid w:val="00A819D4"/>
    <w:pPr>
      <w:spacing w:after="80"/>
      <w:ind w:right="2976"/>
      <w:contextualSpacing/>
    </w:pPr>
    <w:rPr>
      <w:rFonts w:ascii="Arial" w:eastAsia="Arial" w:hAnsi="Arial" w:cs="Arial"/>
      <w:spacing w:val="-10"/>
      <w:w w:val="100"/>
      <w:sz w:val="56"/>
      <w:szCs w:val="56"/>
    </w:rPr>
  </w:style>
  <w:style w:type="character" w:customStyle="1" w:styleId="TitreCar">
    <w:name w:val="Titre Car"/>
    <w:basedOn w:val="Policepardfaut"/>
    <w:link w:val="Titre"/>
    <w:uiPriority w:val="10"/>
    <w:rsid w:val="00A819D4"/>
    <w:rPr>
      <w:rFonts w:ascii="Arial" w:eastAsia="Arial" w:hAnsi="Arial" w:cs="Arial"/>
      <w:spacing w:val="-10"/>
      <w:sz w:val="56"/>
      <w:szCs w:val="56"/>
    </w:rPr>
  </w:style>
  <w:style w:type="paragraph" w:styleId="Sous-titre">
    <w:name w:val="Subtitle"/>
    <w:basedOn w:val="Normal"/>
    <w:next w:val="Normal"/>
    <w:link w:val="Sous-titreCar"/>
    <w:uiPriority w:val="11"/>
    <w:qFormat/>
    <w:rsid w:val="00A819D4"/>
    <w:pPr>
      <w:numPr>
        <w:ilvl w:val="1"/>
      </w:numPr>
      <w:spacing w:line="259" w:lineRule="auto"/>
      <w:ind w:right="2976"/>
    </w:pPr>
    <w:rPr>
      <w:color w:val="595959" w:themeColor="text1" w:themeTint="A6"/>
      <w:spacing w:val="15"/>
      <w:w w:val="100"/>
      <w:sz w:val="28"/>
      <w:szCs w:val="28"/>
    </w:rPr>
  </w:style>
  <w:style w:type="character" w:customStyle="1" w:styleId="Sous-titreCar">
    <w:name w:val="Sous-titre Car"/>
    <w:basedOn w:val="Policepardfaut"/>
    <w:link w:val="Sous-titre"/>
    <w:uiPriority w:val="11"/>
    <w:rsid w:val="00A819D4"/>
    <w:rPr>
      <w:rFonts w:ascii="Marianne" w:hAnsi="Marianne"/>
      <w:color w:val="595959" w:themeColor="text1" w:themeTint="A6"/>
      <w:spacing w:val="15"/>
      <w:sz w:val="28"/>
      <w:szCs w:val="28"/>
    </w:rPr>
  </w:style>
  <w:style w:type="paragraph" w:styleId="Citation">
    <w:name w:val="Quote"/>
    <w:basedOn w:val="Normal"/>
    <w:next w:val="Normal"/>
    <w:link w:val="CitationCar"/>
    <w:uiPriority w:val="29"/>
    <w:qFormat/>
    <w:rsid w:val="00A819D4"/>
    <w:pPr>
      <w:spacing w:before="160" w:line="259" w:lineRule="auto"/>
      <w:ind w:right="2976"/>
      <w:jc w:val="center"/>
    </w:pPr>
    <w:rPr>
      <w:i/>
      <w:iCs/>
      <w:color w:val="404040" w:themeColor="text1" w:themeTint="BF"/>
      <w:w w:val="100"/>
    </w:rPr>
  </w:style>
  <w:style w:type="character" w:customStyle="1" w:styleId="CitationCar">
    <w:name w:val="Citation Car"/>
    <w:basedOn w:val="Policepardfaut"/>
    <w:link w:val="Citation"/>
    <w:uiPriority w:val="29"/>
    <w:rsid w:val="00A819D4"/>
    <w:rPr>
      <w:rFonts w:ascii="Marianne" w:hAnsi="Marianne"/>
      <w:i/>
      <w:iCs/>
      <w:color w:val="404040" w:themeColor="text1" w:themeTint="BF"/>
    </w:rPr>
  </w:style>
  <w:style w:type="character" w:styleId="Accentuationintense">
    <w:name w:val="Intense Emphasis"/>
    <w:basedOn w:val="Policepardfaut"/>
    <w:uiPriority w:val="21"/>
    <w:qFormat/>
    <w:rsid w:val="00A819D4"/>
    <w:rPr>
      <w:i/>
      <w:iCs/>
      <w:color w:val="2E74B5" w:themeColor="accent1" w:themeShade="BF"/>
    </w:rPr>
  </w:style>
  <w:style w:type="paragraph" w:styleId="Citationintense">
    <w:name w:val="Intense Quote"/>
    <w:basedOn w:val="Normal"/>
    <w:next w:val="Normal"/>
    <w:link w:val="CitationintenseCar"/>
    <w:uiPriority w:val="30"/>
    <w:qFormat/>
    <w:rsid w:val="00A819D4"/>
    <w:pPr>
      <w:pBdr>
        <w:top w:val="single" w:sz="4" w:space="10" w:color="2E74B5" w:themeColor="accent1" w:themeShade="BF"/>
        <w:bottom w:val="single" w:sz="4" w:space="10" w:color="2E74B5" w:themeColor="accent1" w:themeShade="BF"/>
      </w:pBdr>
      <w:spacing w:before="360" w:after="360" w:line="259" w:lineRule="auto"/>
      <w:ind w:left="864" w:right="864"/>
      <w:jc w:val="center"/>
    </w:pPr>
    <w:rPr>
      <w:i/>
      <w:iCs/>
      <w:color w:val="2E74B5" w:themeColor="accent1" w:themeShade="BF"/>
      <w:w w:val="100"/>
    </w:rPr>
  </w:style>
  <w:style w:type="character" w:customStyle="1" w:styleId="CitationintenseCar">
    <w:name w:val="Citation intense Car"/>
    <w:basedOn w:val="Policepardfaut"/>
    <w:link w:val="Citationintense"/>
    <w:uiPriority w:val="30"/>
    <w:rsid w:val="00A819D4"/>
    <w:rPr>
      <w:rFonts w:ascii="Marianne" w:hAnsi="Marianne"/>
      <w:i/>
      <w:iCs/>
      <w:color w:val="2E74B5" w:themeColor="accent1" w:themeShade="BF"/>
    </w:rPr>
  </w:style>
  <w:style w:type="character" w:styleId="Rfrenceintense">
    <w:name w:val="Intense Reference"/>
    <w:basedOn w:val="Policepardfaut"/>
    <w:uiPriority w:val="32"/>
    <w:qFormat/>
    <w:rsid w:val="00A819D4"/>
    <w:rPr>
      <w:b/>
      <w:bCs/>
      <w:smallCaps/>
      <w:color w:val="2E74B5" w:themeColor="accent1" w:themeShade="BF"/>
      <w:spacing w:val="5"/>
    </w:rPr>
  </w:style>
  <w:style w:type="paragraph" w:styleId="Sansinterligne">
    <w:name w:val="No Spacing"/>
    <w:basedOn w:val="Normal"/>
    <w:uiPriority w:val="1"/>
    <w:qFormat/>
    <w:rsid w:val="00A819D4"/>
    <w:pPr>
      <w:spacing w:after="0"/>
      <w:ind w:right="2976"/>
    </w:pPr>
    <w:rPr>
      <w:w w:val="100"/>
    </w:rPr>
  </w:style>
  <w:style w:type="character" w:styleId="Accentuationlgre">
    <w:name w:val="Subtle Emphasis"/>
    <w:basedOn w:val="Policepardfaut"/>
    <w:uiPriority w:val="19"/>
    <w:qFormat/>
    <w:rsid w:val="00A819D4"/>
    <w:rPr>
      <w:i/>
      <w:iCs/>
      <w:color w:val="404040" w:themeColor="text1" w:themeTint="BF"/>
    </w:rPr>
  </w:style>
  <w:style w:type="character" w:styleId="Accentuation">
    <w:name w:val="Emphasis"/>
    <w:basedOn w:val="Policepardfaut"/>
    <w:uiPriority w:val="20"/>
    <w:qFormat/>
    <w:rsid w:val="00A819D4"/>
    <w:rPr>
      <w:i/>
      <w:iCs/>
    </w:rPr>
  </w:style>
  <w:style w:type="character" w:styleId="lev">
    <w:name w:val="Strong"/>
    <w:basedOn w:val="Policepardfaut"/>
    <w:uiPriority w:val="22"/>
    <w:qFormat/>
    <w:rsid w:val="00A819D4"/>
    <w:rPr>
      <w:b/>
      <w:bCs/>
    </w:rPr>
  </w:style>
  <w:style w:type="character" w:styleId="Rfrencelgre">
    <w:name w:val="Subtle Reference"/>
    <w:basedOn w:val="Policepardfaut"/>
    <w:uiPriority w:val="31"/>
    <w:qFormat/>
    <w:rsid w:val="00A819D4"/>
    <w:rPr>
      <w:smallCaps/>
      <w:color w:val="5A5A5A" w:themeColor="text1" w:themeTint="A5"/>
    </w:rPr>
  </w:style>
  <w:style w:type="character" w:styleId="Titredulivre">
    <w:name w:val="Book Title"/>
    <w:basedOn w:val="Policepardfaut"/>
    <w:uiPriority w:val="33"/>
    <w:qFormat/>
    <w:rsid w:val="00A819D4"/>
    <w:rPr>
      <w:b/>
      <w:bCs/>
      <w:i/>
      <w:iCs/>
      <w:spacing w:val="5"/>
    </w:rPr>
  </w:style>
  <w:style w:type="paragraph" w:styleId="Notedebasdepage">
    <w:name w:val="footnote text"/>
    <w:basedOn w:val="Normal"/>
    <w:link w:val="NotedebasdepageCar"/>
    <w:uiPriority w:val="99"/>
    <w:semiHidden/>
    <w:unhideWhenUsed/>
    <w:rsid w:val="00A819D4"/>
    <w:pPr>
      <w:spacing w:after="0"/>
      <w:ind w:right="2976"/>
    </w:pPr>
    <w:rPr>
      <w:w w:val="100"/>
      <w:sz w:val="20"/>
      <w:szCs w:val="20"/>
    </w:rPr>
  </w:style>
  <w:style w:type="character" w:customStyle="1" w:styleId="NotedebasdepageCar">
    <w:name w:val="Note de bas de page Car"/>
    <w:basedOn w:val="Policepardfaut"/>
    <w:link w:val="Notedebasdepage"/>
    <w:uiPriority w:val="99"/>
    <w:semiHidden/>
    <w:rsid w:val="00A819D4"/>
    <w:rPr>
      <w:rFonts w:ascii="Marianne" w:hAnsi="Marianne"/>
      <w:sz w:val="20"/>
      <w:szCs w:val="20"/>
    </w:rPr>
  </w:style>
  <w:style w:type="character" w:styleId="Appelnotedebasdep">
    <w:name w:val="footnote reference"/>
    <w:basedOn w:val="Policepardfaut"/>
    <w:uiPriority w:val="99"/>
    <w:semiHidden/>
    <w:unhideWhenUsed/>
    <w:rsid w:val="00A819D4"/>
    <w:rPr>
      <w:vertAlign w:val="superscript"/>
    </w:rPr>
  </w:style>
  <w:style w:type="paragraph" w:styleId="Notedefin">
    <w:name w:val="endnote text"/>
    <w:basedOn w:val="Normal"/>
    <w:link w:val="NotedefinCar"/>
    <w:uiPriority w:val="99"/>
    <w:semiHidden/>
    <w:unhideWhenUsed/>
    <w:rsid w:val="00A819D4"/>
    <w:pPr>
      <w:spacing w:after="0"/>
      <w:ind w:right="2976"/>
    </w:pPr>
    <w:rPr>
      <w:w w:val="100"/>
      <w:sz w:val="20"/>
      <w:szCs w:val="20"/>
    </w:rPr>
  </w:style>
  <w:style w:type="character" w:customStyle="1" w:styleId="NotedefinCar">
    <w:name w:val="Note de fin Car"/>
    <w:basedOn w:val="Policepardfaut"/>
    <w:link w:val="Notedefin"/>
    <w:uiPriority w:val="99"/>
    <w:semiHidden/>
    <w:rsid w:val="00A819D4"/>
    <w:rPr>
      <w:rFonts w:ascii="Marianne" w:hAnsi="Marianne"/>
      <w:sz w:val="20"/>
      <w:szCs w:val="20"/>
    </w:rPr>
  </w:style>
  <w:style w:type="character" w:styleId="Appeldenotedefin">
    <w:name w:val="endnote reference"/>
    <w:basedOn w:val="Policepardfaut"/>
    <w:uiPriority w:val="99"/>
    <w:semiHidden/>
    <w:unhideWhenUsed/>
    <w:rsid w:val="00A819D4"/>
    <w:rPr>
      <w:vertAlign w:val="superscript"/>
    </w:rPr>
  </w:style>
  <w:style w:type="character" w:styleId="Lienhypertexte">
    <w:name w:val="Hyperlink"/>
    <w:basedOn w:val="Policepardfaut"/>
    <w:uiPriority w:val="99"/>
    <w:unhideWhenUsed/>
    <w:rsid w:val="00A819D4"/>
    <w:rPr>
      <w:color w:val="0563C1" w:themeColor="hyperlink"/>
      <w:u w:val="single"/>
    </w:rPr>
  </w:style>
  <w:style w:type="character" w:styleId="Lienhypertextesuivivisit">
    <w:name w:val="FollowedHyperlink"/>
    <w:basedOn w:val="Policepardfaut"/>
    <w:uiPriority w:val="99"/>
    <w:semiHidden/>
    <w:unhideWhenUsed/>
    <w:rsid w:val="00A819D4"/>
    <w:rPr>
      <w:color w:val="954F72" w:themeColor="followedHyperlink"/>
      <w:u w:val="single"/>
    </w:rPr>
  </w:style>
  <w:style w:type="paragraph" w:styleId="TM1">
    <w:name w:val="toc 1"/>
    <w:basedOn w:val="Normal"/>
    <w:next w:val="Normal"/>
    <w:uiPriority w:val="39"/>
    <w:unhideWhenUsed/>
    <w:rsid w:val="00A819D4"/>
    <w:pPr>
      <w:spacing w:after="100" w:line="259" w:lineRule="auto"/>
      <w:ind w:right="2976"/>
    </w:pPr>
    <w:rPr>
      <w:w w:val="100"/>
    </w:rPr>
  </w:style>
  <w:style w:type="paragraph" w:styleId="TM2">
    <w:name w:val="toc 2"/>
    <w:basedOn w:val="Normal"/>
    <w:next w:val="Normal"/>
    <w:uiPriority w:val="39"/>
    <w:unhideWhenUsed/>
    <w:rsid w:val="00A819D4"/>
    <w:pPr>
      <w:spacing w:after="100" w:line="259" w:lineRule="auto"/>
      <w:ind w:left="220" w:right="2976"/>
    </w:pPr>
    <w:rPr>
      <w:w w:val="100"/>
    </w:rPr>
  </w:style>
  <w:style w:type="paragraph" w:styleId="TM3">
    <w:name w:val="toc 3"/>
    <w:basedOn w:val="Normal"/>
    <w:next w:val="Normal"/>
    <w:uiPriority w:val="39"/>
    <w:unhideWhenUsed/>
    <w:rsid w:val="00A819D4"/>
    <w:pPr>
      <w:spacing w:after="100" w:line="259" w:lineRule="auto"/>
      <w:ind w:left="440" w:right="2976"/>
    </w:pPr>
    <w:rPr>
      <w:w w:val="100"/>
    </w:rPr>
  </w:style>
  <w:style w:type="paragraph" w:styleId="TM4">
    <w:name w:val="toc 4"/>
    <w:basedOn w:val="Normal"/>
    <w:next w:val="Normal"/>
    <w:uiPriority w:val="39"/>
    <w:unhideWhenUsed/>
    <w:rsid w:val="00A819D4"/>
    <w:pPr>
      <w:spacing w:after="100" w:line="259" w:lineRule="auto"/>
      <w:ind w:left="660" w:right="2976"/>
    </w:pPr>
    <w:rPr>
      <w:w w:val="100"/>
    </w:rPr>
  </w:style>
  <w:style w:type="paragraph" w:styleId="TM5">
    <w:name w:val="toc 5"/>
    <w:basedOn w:val="Normal"/>
    <w:next w:val="Normal"/>
    <w:uiPriority w:val="39"/>
    <w:unhideWhenUsed/>
    <w:rsid w:val="00A819D4"/>
    <w:pPr>
      <w:spacing w:after="100" w:line="259" w:lineRule="auto"/>
      <w:ind w:left="880" w:right="2976"/>
    </w:pPr>
    <w:rPr>
      <w:w w:val="100"/>
    </w:rPr>
  </w:style>
  <w:style w:type="paragraph" w:styleId="TM6">
    <w:name w:val="toc 6"/>
    <w:basedOn w:val="Normal"/>
    <w:next w:val="Normal"/>
    <w:uiPriority w:val="39"/>
    <w:unhideWhenUsed/>
    <w:rsid w:val="00A819D4"/>
    <w:pPr>
      <w:spacing w:after="100" w:line="259" w:lineRule="auto"/>
      <w:ind w:left="1100" w:right="2976"/>
    </w:pPr>
    <w:rPr>
      <w:w w:val="100"/>
    </w:rPr>
  </w:style>
  <w:style w:type="paragraph" w:styleId="TM7">
    <w:name w:val="toc 7"/>
    <w:basedOn w:val="Normal"/>
    <w:next w:val="Normal"/>
    <w:uiPriority w:val="39"/>
    <w:unhideWhenUsed/>
    <w:rsid w:val="00A819D4"/>
    <w:pPr>
      <w:spacing w:after="100" w:line="259" w:lineRule="auto"/>
      <w:ind w:left="1320" w:right="2976"/>
    </w:pPr>
    <w:rPr>
      <w:w w:val="100"/>
    </w:rPr>
  </w:style>
  <w:style w:type="paragraph" w:styleId="TM8">
    <w:name w:val="toc 8"/>
    <w:basedOn w:val="Normal"/>
    <w:next w:val="Normal"/>
    <w:uiPriority w:val="39"/>
    <w:unhideWhenUsed/>
    <w:rsid w:val="00A819D4"/>
    <w:pPr>
      <w:spacing w:after="100" w:line="259" w:lineRule="auto"/>
      <w:ind w:left="1540" w:right="2976"/>
    </w:pPr>
    <w:rPr>
      <w:w w:val="100"/>
    </w:rPr>
  </w:style>
  <w:style w:type="paragraph" w:styleId="TM9">
    <w:name w:val="toc 9"/>
    <w:basedOn w:val="Normal"/>
    <w:next w:val="Normal"/>
    <w:uiPriority w:val="39"/>
    <w:unhideWhenUsed/>
    <w:rsid w:val="00A819D4"/>
    <w:pPr>
      <w:spacing w:after="100" w:line="259" w:lineRule="auto"/>
      <w:ind w:left="1760" w:right="2976"/>
    </w:pPr>
    <w:rPr>
      <w:w w:val="100"/>
    </w:rPr>
  </w:style>
  <w:style w:type="paragraph" w:styleId="En-ttedetabledesmatires">
    <w:name w:val="TOC Heading"/>
    <w:uiPriority w:val="39"/>
    <w:unhideWhenUsed/>
    <w:rsid w:val="00A819D4"/>
  </w:style>
  <w:style w:type="paragraph" w:styleId="Tabledesillustrations">
    <w:name w:val="table of figures"/>
    <w:basedOn w:val="Normal"/>
    <w:next w:val="Normal"/>
    <w:uiPriority w:val="99"/>
    <w:unhideWhenUsed/>
    <w:rsid w:val="00A819D4"/>
    <w:pPr>
      <w:spacing w:after="0" w:line="259" w:lineRule="auto"/>
      <w:ind w:right="2976"/>
    </w:pPr>
    <w:rPr>
      <w:w w:val="100"/>
    </w:rPr>
  </w:style>
  <w:style w:type="character" w:styleId="Mentionnonrsolue">
    <w:name w:val="Unresolved Mention"/>
    <w:basedOn w:val="Policepardfaut"/>
    <w:uiPriority w:val="99"/>
    <w:semiHidden/>
    <w:unhideWhenUsed/>
    <w:rsid w:val="00A819D4"/>
    <w:rPr>
      <w:color w:val="605E5C"/>
      <w:shd w:val="clear" w:color="auto" w:fill="E1DFDD"/>
    </w:rPr>
  </w:style>
  <w:style w:type="paragraph" w:styleId="NormalWeb">
    <w:name w:val="Normal (Web)"/>
    <w:basedOn w:val="Normal"/>
    <w:uiPriority w:val="99"/>
    <w:unhideWhenUsed/>
    <w:rsid w:val="00B13062"/>
    <w:pPr>
      <w:spacing w:before="100" w:beforeAutospacing="1" w:after="100" w:afterAutospacing="1"/>
      <w:ind w:right="805"/>
    </w:pPr>
    <w:rPr>
      <w:rFonts w:ascii="Times New Roman" w:eastAsia="Times New Roman" w:hAnsi="Times New Roman" w:cs="Times New Roman"/>
      <w:color w:val="231F20"/>
      <w:w w:val="10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66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155C8-955A-45F2-AF34-E9E69D445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16</Pages>
  <Words>2628</Words>
  <Characters>14456</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Ministère de l'Agriculture et de l'Alimentation</Company>
  <LinksUpToDate>false</LinksUpToDate>
  <CharactersWithSpaces>17050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GERBIER</dc:creator>
  <cp:keywords/>
  <dc:description/>
  <cp:lastModifiedBy>Olivier DEBAERE</cp:lastModifiedBy>
  <cp:revision>6</cp:revision>
  <cp:lastPrinted>2025-01-15T12:02:00Z</cp:lastPrinted>
  <dcterms:created xsi:type="dcterms:W3CDTF">2025-04-24T17:10:00Z</dcterms:created>
  <dcterms:modified xsi:type="dcterms:W3CDTF">2025-06-22T15:15:00Z</dcterms:modified>
</cp:coreProperties>
</file>